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BD9" w:rsidRPr="00BF4BD9" w:rsidRDefault="00BF4BD9" w:rsidP="00BF4BD9">
      <w:pPr>
        <w:pStyle w:val="Textoindependiente"/>
        <w:spacing w:before="1"/>
        <w:jc w:val="center"/>
        <w:rPr>
          <w:rFonts w:ascii="Times New Roman"/>
          <w:sz w:val="32"/>
          <w:szCs w:val="32"/>
        </w:rPr>
      </w:pPr>
      <w:r w:rsidRPr="00BF4BD9">
        <w:rPr>
          <w:rFonts w:ascii="Times New Roman"/>
          <w:sz w:val="32"/>
          <w:szCs w:val="32"/>
        </w:rPr>
        <w:t>Anexo 1.  Formato para la Difusi</w:t>
      </w:r>
      <w:r w:rsidRPr="00BF4BD9">
        <w:rPr>
          <w:rFonts w:ascii="Times New Roman"/>
          <w:sz w:val="32"/>
          <w:szCs w:val="32"/>
        </w:rPr>
        <w:t>ó</w:t>
      </w:r>
      <w:r w:rsidRPr="00BF4BD9">
        <w:rPr>
          <w:rFonts w:ascii="Times New Roman"/>
          <w:sz w:val="32"/>
          <w:szCs w:val="32"/>
        </w:rPr>
        <w:t>n de los Resultados de las Evaluaciones (CONAC)</w:t>
      </w:r>
    </w:p>
    <w:p w:rsidR="00BF4BD9" w:rsidRPr="00B20B07" w:rsidRDefault="00BF4BD9" w:rsidP="00BF4BD9">
      <w:pPr>
        <w:pStyle w:val="Textoindependiente"/>
        <w:spacing w:before="1"/>
        <w:rPr>
          <w:rFonts w:ascii="Times New Roman"/>
          <w:sz w:val="28"/>
        </w:rPr>
      </w:pPr>
    </w:p>
    <w:tbl>
      <w:tblPr>
        <w:tblStyle w:val="TableNormal1"/>
        <w:tblW w:w="10117" w:type="dxa"/>
        <w:tblInd w:w="1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46"/>
        <w:gridCol w:w="5071"/>
      </w:tblGrid>
      <w:tr w:rsidR="00BF4BD9" w:rsidTr="00BF4BD9">
        <w:trPr>
          <w:trHeight w:val="455"/>
        </w:trPr>
        <w:tc>
          <w:tcPr>
            <w:tcW w:w="10114" w:type="dxa"/>
            <w:gridSpan w:val="2"/>
            <w:shd w:val="clear" w:color="auto" w:fill="00AFEF"/>
          </w:tcPr>
          <w:p w:rsidR="00BF4BD9" w:rsidRDefault="00BF4BD9" w:rsidP="00FE075A">
            <w:pPr>
              <w:pStyle w:val="TableParagraph"/>
              <w:spacing w:before="15"/>
              <w:ind w:left="3000"/>
              <w:rPr>
                <w:b/>
                <w:sz w:val="21"/>
              </w:rPr>
            </w:pPr>
            <w:r>
              <w:rPr>
                <w:b/>
                <w:color w:val="FFFFFF"/>
                <w:sz w:val="28"/>
              </w:rPr>
              <w:t>1. D</w:t>
            </w:r>
            <w:r>
              <w:rPr>
                <w:b/>
                <w:color w:val="FFFFFF"/>
                <w:sz w:val="21"/>
              </w:rPr>
              <w:t>ESCRIPCIÓN DE LA EVALUACIÓN</w:t>
            </w:r>
          </w:p>
        </w:tc>
      </w:tr>
      <w:tr w:rsidR="00BF4BD9" w:rsidRPr="00D7367D" w:rsidTr="00BF4BD9">
        <w:trPr>
          <w:trHeight w:val="680"/>
        </w:trPr>
        <w:tc>
          <w:tcPr>
            <w:tcW w:w="10114" w:type="dxa"/>
            <w:gridSpan w:val="2"/>
          </w:tcPr>
          <w:p w:rsidR="00BF4BD9" w:rsidRPr="00C7483B" w:rsidRDefault="00BF4BD9" w:rsidP="00FE075A">
            <w:pPr>
              <w:pStyle w:val="TableParagraph"/>
              <w:spacing w:before="12" w:line="237" w:lineRule="auto"/>
              <w:ind w:left="74" w:right="599"/>
              <w:rPr>
                <w:sz w:val="24"/>
                <w:lang w:val="es-MX"/>
              </w:rPr>
            </w:pPr>
            <w:r w:rsidRPr="00C7483B">
              <w:rPr>
                <w:sz w:val="24"/>
                <w:lang w:val="es-MX"/>
              </w:rPr>
              <w:t>1.1 Nombre de la evaluación: Evaluación del Desempeño del Fondo de Fortalecimiento Municipal FORTAMUN-DF</w:t>
            </w:r>
          </w:p>
        </w:tc>
      </w:tr>
      <w:tr w:rsidR="00BF4BD9" w:rsidRPr="00D7367D" w:rsidTr="00BF4BD9">
        <w:trPr>
          <w:trHeight w:val="407"/>
        </w:trPr>
        <w:tc>
          <w:tcPr>
            <w:tcW w:w="10114" w:type="dxa"/>
            <w:gridSpan w:val="2"/>
          </w:tcPr>
          <w:p w:rsidR="00BF4BD9" w:rsidRPr="00C7483B" w:rsidRDefault="00BF4BD9" w:rsidP="00FE075A">
            <w:pPr>
              <w:pStyle w:val="TableParagraph"/>
              <w:spacing w:before="9"/>
              <w:ind w:left="74"/>
              <w:rPr>
                <w:sz w:val="24"/>
                <w:lang w:val="es-MX"/>
              </w:rPr>
            </w:pPr>
            <w:r w:rsidRPr="00C7483B">
              <w:rPr>
                <w:sz w:val="24"/>
                <w:lang w:val="es-MX"/>
              </w:rPr>
              <w:t>1.2 Fecha de inicio de la evaluación: 26/03/2018</w:t>
            </w:r>
          </w:p>
        </w:tc>
      </w:tr>
      <w:tr w:rsidR="00BF4BD9" w:rsidRPr="00D7367D" w:rsidTr="00BF4BD9">
        <w:trPr>
          <w:trHeight w:val="407"/>
        </w:trPr>
        <w:tc>
          <w:tcPr>
            <w:tcW w:w="10114" w:type="dxa"/>
            <w:gridSpan w:val="2"/>
          </w:tcPr>
          <w:p w:rsidR="00BF4BD9" w:rsidRPr="00C7483B" w:rsidRDefault="00BF4BD9" w:rsidP="00FE075A">
            <w:pPr>
              <w:pStyle w:val="TableParagraph"/>
              <w:spacing w:before="9"/>
              <w:ind w:left="74"/>
              <w:rPr>
                <w:sz w:val="24"/>
                <w:lang w:val="es-MX"/>
              </w:rPr>
            </w:pPr>
            <w:r w:rsidRPr="00C7483B">
              <w:rPr>
                <w:sz w:val="24"/>
                <w:lang w:val="es-MX"/>
              </w:rPr>
              <w:t>1.3 Fecha de término de la evaluación: 28/04/2018</w:t>
            </w:r>
          </w:p>
        </w:tc>
      </w:tr>
      <w:tr w:rsidR="00BF4BD9" w:rsidRPr="00D7367D" w:rsidTr="00BF4BD9">
        <w:trPr>
          <w:trHeight w:val="681"/>
        </w:trPr>
        <w:tc>
          <w:tcPr>
            <w:tcW w:w="10114" w:type="dxa"/>
            <w:gridSpan w:val="2"/>
          </w:tcPr>
          <w:p w:rsidR="00BF4BD9" w:rsidRPr="00C7483B" w:rsidRDefault="00BF4BD9" w:rsidP="00FE075A">
            <w:pPr>
              <w:pStyle w:val="TableParagraph"/>
              <w:spacing w:before="9" w:line="242" w:lineRule="auto"/>
              <w:ind w:left="74"/>
              <w:rPr>
                <w:sz w:val="24"/>
                <w:lang w:val="es-MX"/>
              </w:rPr>
            </w:pPr>
            <w:r w:rsidRPr="00C7483B">
              <w:rPr>
                <w:sz w:val="24"/>
                <w:lang w:val="es-MX"/>
              </w:rPr>
              <w:t>1.4 Nombre de la persona responsable de darle seguimiento a la evaluación y nombre de la unidad administrativa a la que pertenece:</w:t>
            </w:r>
          </w:p>
        </w:tc>
      </w:tr>
      <w:tr w:rsidR="00BF4BD9" w:rsidRPr="0088228D" w:rsidTr="00BF4BD9">
        <w:trPr>
          <w:trHeight w:val="661"/>
        </w:trPr>
        <w:tc>
          <w:tcPr>
            <w:tcW w:w="5045" w:type="dxa"/>
          </w:tcPr>
          <w:p w:rsidR="00BF4BD9" w:rsidRPr="00D873F8" w:rsidRDefault="00BF4BD9" w:rsidP="00FE075A">
            <w:pPr>
              <w:pStyle w:val="TableParagraph"/>
              <w:spacing w:before="14"/>
              <w:ind w:left="74"/>
              <w:rPr>
                <w:sz w:val="21"/>
              </w:rPr>
            </w:pPr>
            <w:proofErr w:type="spellStart"/>
            <w:r w:rsidRPr="00D873F8">
              <w:rPr>
                <w:sz w:val="24"/>
              </w:rPr>
              <w:t>Nombre</w:t>
            </w:r>
            <w:proofErr w:type="spellEnd"/>
            <w:r w:rsidRPr="00D873F8">
              <w:rPr>
                <w:sz w:val="24"/>
              </w:rPr>
              <w:t xml:space="preserve">: </w:t>
            </w:r>
            <w:r>
              <w:rPr>
                <w:sz w:val="21"/>
              </w:rPr>
              <w:t xml:space="preserve">Oscar Trejo </w:t>
            </w:r>
            <w:proofErr w:type="spellStart"/>
            <w:r>
              <w:rPr>
                <w:sz w:val="21"/>
              </w:rPr>
              <w:t>Márquez</w:t>
            </w:r>
            <w:proofErr w:type="spellEnd"/>
          </w:p>
        </w:tc>
        <w:tc>
          <w:tcPr>
            <w:tcW w:w="5069" w:type="dxa"/>
          </w:tcPr>
          <w:p w:rsidR="00BF4BD9" w:rsidRPr="00B20B07" w:rsidRDefault="00BF4BD9" w:rsidP="00FE075A">
            <w:pPr>
              <w:pStyle w:val="TableParagraph"/>
              <w:spacing w:before="14" w:line="244" w:lineRule="auto"/>
              <w:ind w:left="73" w:right="3"/>
              <w:rPr>
                <w:sz w:val="21"/>
              </w:rPr>
            </w:pPr>
            <w:proofErr w:type="spellStart"/>
            <w:r>
              <w:rPr>
                <w:sz w:val="21"/>
              </w:rPr>
              <w:t>Unidad</w:t>
            </w:r>
            <w:proofErr w:type="spellEnd"/>
            <w:r>
              <w:rPr>
                <w:sz w:val="21"/>
              </w:rPr>
              <w:t xml:space="preserve"> </w:t>
            </w:r>
            <w:proofErr w:type="spellStart"/>
            <w:r>
              <w:rPr>
                <w:sz w:val="21"/>
              </w:rPr>
              <w:t>Administrativa</w:t>
            </w:r>
            <w:proofErr w:type="spellEnd"/>
            <w:r>
              <w:rPr>
                <w:sz w:val="21"/>
              </w:rPr>
              <w:t xml:space="preserve">: </w:t>
            </w:r>
            <w:proofErr w:type="spellStart"/>
            <w:r>
              <w:rPr>
                <w:sz w:val="21"/>
              </w:rPr>
              <w:t>Contraloría</w:t>
            </w:r>
            <w:proofErr w:type="spellEnd"/>
            <w:r>
              <w:rPr>
                <w:sz w:val="21"/>
              </w:rPr>
              <w:t xml:space="preserve"> Municipal</w:t>
            </w:r>
          </w:p>
        </w:tc>
      </w:tr>
      <w:tr w:rsidR="00BF4BD9" w:rsidRPr="00D7367D" w:rsidTr="00BF4BD9">
        <w:trPr>
          <w:trHeight w:val="1266"/>
        </w:trPr>
        <w:tc>
          <w:tcPr>
            <w:tcW w:w="10114" w:type="dxa"/>
            <w:gridSpan w:val="2"/>
          </w:tcPr>
          <w:p w:rsidR="00BF4BD9" w:rsidRPr="00C7483B" w:rsidRDefault="00BF4BD9" w:rsidP="00FE075A">
            <w:pPr>
              <w:pStyle w:val="TableParagraph"/>
              <w:spacing w:before="9"/>
              <w:ind w:left="74"/>
              <w:rPr>
                <w:sz w:val="24"/>
                <w:lang w:val="es-MX"/>
              </w:rPr>
            </w:pPr>
            <w:r w:rsidRPr="00C7483B">
              <w:rPr>
                <w:sz w:val="24"/>
                <w:lang w:val="es-MX"/>
              </w:rPr>
              <w:t>1.5 Objetivo general de la evaluación:</w:t>
            </w:r>
          </w:p>
          <w:p w:rsidR="00BF4BD9" w:rsidRPr="00C7483B" w:rsidRDefault="00BF4BD9" w:rsidP="00FE075A">
            <w:pPr>
              <w:pStyle w:val="TableParagraph"/>
              <w:spacing w:before="113" w:line="249" w:lineRule="auto"/>
              <w:ind w:left="74" w:right="84"/>
              <w:rPr>
                <w:sz w:val="21"/>
                <w:lang w:val="es-MX"/>
              </w:rPr>
            </w:pPr>
            <w:r w:rsidRPr="00C7483B">
              <w:rPr>
                <w:w w:val="105"/>
                <w:sz w:val="21"/>
                <w:lang w:val="es-MX"/>
              </w:rPr>
              <w:t>Evaluar</w:t>
            </w:r>
            <w:r w:rsidRPr="00C7483B">
              <w:rPr>
                <w:spacing w:val="-4"/>
                <w:w w:val="105"/>
                <w:sz w:val="21"/>
                <w:lang w:val="es-MX"/>
              </w:rPr>
              <w:t xml:space="preserve"> </w:t>
            </w:r>
            <w:r w:rsidRPr="00C7483B">
              <w:rPr>
                <w:w w:val="105"/>
                <w:sz w:val="21"/>
                <w:lang w:val="es-MX"/>
              </w:rPr>
              <w:t>el</w:t>
            </w:r>
            <w:r w:rsidRPr="00C7483B">
              <w:rPr>
                <w:spacing w:val="-5"/>
                <w:w w:val="105"/>
                <w:sz w:val="21"/>
                <w:lang w:val="es-MX"/>
              </w:rPr>
              <w:t xml:space="preserve"> </w:t>
            </w:r>
            <w:r w:rsidRPr="00C7483B">
              <w:rPr>
                <w:w w:val="105"/>
                <w:sz w:val="21"/>
                <w:lang w:val="es-MX"/>
              </w:rPr>
              <w:t>desempeño</w:t>
            </w:r>
            <w:r w:rsidRPr="00C7483B">
              <w:rPr>
                <w:spacing w:val="-4"/>
                <w:w w:val="105"/>
                <w:sz w:val="21"/>
                <w:lang w:val="es-MX"/>
              </w:rPr>
              <w:t xml:space="preserve"> </w:t>
            </w:r>
            <w:r w:rsidRPr="00C7483B">
              <w:rPr>
                <w:w w:val="105"/>
                <w:sz w:val="21"/>
                <w:lang w:val="es-MX"/>
              </w:rPr>
              <w:t>y</w:t>
            </w:r>
            <w:r w:rsidRPr="00C7483B">
              <w:rPr>
                <w:spacing w:val="-4"/>
                <w:w w:val="105"/>
                <w:sz w:val="21"/>
                <w:lang w:val="es-MX"/>
              </w:rPr>
              <w:t xml:space="preserve"> </w:t>
            </w:r>
            <w:r w:rsidRPr="00C7483B">
              <w:rPr>
                <w:w w:val="105"/>
                <w:sz w:val="21"/>
                <w:lang w:val="es-MX"/>
              </w:rPr>
              <w:t>los</w:t>
            </w:r>
            <w:r w:rsidRPr="00C7483B">
              <w:rPr>
                <w:spacing w:val="-4"/>
                <w:w w:val="105"/>
                <w:sz w:val="21"/>
                <w:lang w:val="es-MX"/>
              </w:rPr>
              <w:t xml:space="preserve"> </w:t>
            </w:r>
            <w:r w:rsidRPr="00C7483B">
              <w:rPr>
                <w:w w:val="105"/>
                <w:sz w:val="21"/>
                <w:lang w:val="es-MX"/>
              </w:rPr>
              <w:t>resultados</w:t>
            </w:r>
            <w:r w:rsidRPr="00C7483B">
              <w:rPr>
                <w:spacing w:val="-4"/>
                <w:w w:val="105"/>
                <w:sz w:val="21"/>
                <w:lang w:val="es-MX"/>
              </w:rPr>
              <w:t xml:space="preserve"> </w:t>
            </w:r>
            <w:r w:rsidRPr="00C7483B">
              <w:rPr>
                <w:w w:val="105"/>
                <w:sz w:val="21"/>
                <w:lang w:val="es-MX"/>
              </w:rPr>
              <w:t>de</w:t>
            </w:r>
            <w:r w:rsidRPr="00C7483B">
              <w:rPr>
                <w:spacing w:val="-4"/>
                <w:w w:val="105"/>
                <w:sz w:val="21"/>
                <w:lang w:val="es-MX"/>
              </w:rPr>
              <w:t xml:space="preserve"> </w:t>
            </w:r>
            <w:r w:rsidRPr="00C7483B">
              <w:rPr>
                <w:w w:val="105"/>
                <w:sz w:val="21"/>
                <w:lang w:val="es-MX"/>
              </w:rPr>
              <w:t>la</w:t>
            </w:r>
            <w:r w:rsidRPr="00C7483B">
              <w:rPr>
                <w:spacing w:val="-4"/>
                <w:w w:val="105"/>
                <w:sz w:val="21"/>
                <w:lang w:val="es-MX"/>
              </w:rPr>
              <w:t xml:space="preserve"> </w:t>
            </w:r>
            <w:r w:rsidRPr="00C7483B">
              <w:rPr>
                <w:w w:val="105"/>
                <w:sz w:val="21"/>
                <w:lang w:val="es-MX"/>
              </w:rPr>
              <w:t>aplicación</w:t>
            </w:r>
            <w:r w:rsidRPr="00C7483B">
              <w:rPr>
                <w:spacing w:val="-4"/>
                <w:w w:val="105"/>
                <w:sz w:val="21"/>
                <w:lang w:val="es-MX"/>
              </w:rPr>
              <w:t xml:space="preserve"> </w:t>
            </w:r>
            <w:r w:rsidRPr="00C7483B">
              <w:rPr>
                <w:w w:val="105"/>
                <w:sz w:val="21"/>
                <w:lang w:val="es-MX"/>
              </w:rPr>
              <w:t>de</w:t>
            </w:r>
            <w:r w:rsidRPr="00C7483B">
              <w:rPr>
                <w:spacing w:val="-4"/>
                <w:w w:val="105"/>
                <w:sz w:val="21"/>
                <w:lang w:val="es-MX"/>
              </w:rPr>
              <w:t xml:space="preserve"> </w:t>
            </w:r>
            <w:r w:rsidRPr="00C7483B">
              <w:rPr>
                <w:w w:val="105"/>
                <w:sz w:val="21"/>
                <w:lang w:val="es-MX"/>
              </w:rPr>
              <w:t>los</w:t>
            </w:r>
            <w:r w:rsidRPr="00C7483B">
              <w:rPr>
                <w:spacing w:val="-4"/>
                <w:w w:val="105"/>
                <w:sz w:val="21"/>
                <w:lang w:val="es-MX"/>
              </w:rPr>
              <w:t xml:space="preserve"> </w:t>
            </w:r>
            <w:r w:rsidRPr="00C7483B">
              <w:rPr>
                <w:w w:val="105"/>
                <w:sz w:val="21"/>
                <w:lang w:val="es-MX"/>
              </w:rPr>
              <w:t>recursos</w:t>
            </w:r>
            <w:r w:rsidRPr="00C7483B">
              <w:rPr>
                <w:spacing w:val="-4"/>
                <w:w w:val="105"/>
                <w:sz w:val="21"/>
                <w:lang w:val="es-MX"/>
              </w:rPr>
              <w:t xml:space="preserve"> </w:t>
            </w:r>
            <w:r w:rsidRPr="00C7483B">
              <w:rPr>
                <w:w w:val="105"/>
                <w:sz w:val="21"/>
                <w:lang w:val="es-MX"/>
              </w:rPr>
              <w:t>del</w:t>
            </w:r>
            <w:r w:rsidRPr="00C7483B">
              <w:rPr>
                <w:spacing w:val="-5"/>
                <w:w w:val="105"/>
                <w:sz w:val="21"/>
                <w:lang w:val="es-MX"/>
              </w:rPr>
              <w:t xml:space="preserve"> </w:t>
            </w:r>
            <w:r w:rsidRPr="00C7483B">
              <w:rPr>
                <w:w w:val="105"/>
                <w:sz w:val="21"/>
                <w:lang w:val="es-MX"/>
              </w:rPr>
              <w:t>FORTAMUN-DF,</w:t>
            </w:r>
            <w:r w:rsidRPr="00C7483B">
              <w:rPr>
                <w:spacing w:val="-5"/>
                <w:w w:val="105"/>
                <w:sz w:val="21"/>
                <w:lang w:val="es-MX"/>
              </w:rPr>
              <w:t xml:space="preserve"> </w:t>
            </w:r>
            <w:r w:rsidRPr="00C7483B">
              <w:rPr>
                <w:w w:val="105"/>
                <w:sz w:val="21"/>
                <w:lang w:val="es-MX"/>
              </w:rPr>
              <w:t>con</w:t>
            </w:r>
            <w:r w:rsidRPr="00C7483B">
              <w:rPr>
                <w:spacing w:val="-4"/>
                <w:w w:val="105"/>
                <w:sz w:val="21"/>
                <w:lang w:val="es-MX"/>
              </w:rPr>
              <w:t xml:space="preserve"> </w:t>
            </w:r>
            <w:r w:rsidRPr="00C7483B">
              <w:rPr>
                <w:w w:val="105"/>
                <w:sz w:val="21"/>
                <w:lang w:val="es-MX"/>
              </w:rPr>
              <w:t>el</w:t>
            </w:r>
            <w:r w:rsidRPr="00C7483B">
              <w:rPr>
                <w:spacing w:val="-5"/>
                <w:w w:val="105"/>
                <w:sz w:val="21"/>
                <w:lang w:val="es-MX"/>
              </w:rPr>
              <w:t xml:space="preserve"> </w:t>
            </w:r>
            <w:r w:rsidRPr="00C7483B">
              <w:rPr>
                <w:w w:val="105"/>
                <w:sz w:val="21"/>
                <w:lang w:val="es-MX"/>
              </w:rPr>
              <w:t>fin de mejorar la gestión en la entrega de bienes y servicios públicos a la población beneficiaria, optimizar el uso de los recursos y rendir cuentas a la</w:t>
            </w:r>
            <w:r w:rsidRPr="00C7483B">
              <w:rPr>
                <w:spacing w:val="2"/>
                <w:w w:val="105"/>
                <w:sz w:val="21"/>
                <w:lang w:val="es-MX"/>
              </w:rPr>
              <w:t xml:space="preserve"> </w:t>
            </w:r>
            <w:r w:rsidRPr="00C7483B">
              <w:rPr>
                <w:w w:val="105"/>
                <w:sz w:val="21"/>
                <w:lang w:val="es-MX"/>
              </w:rPr>
              <w:t>sociedad.</w:t>
            </w:r>
          </w:p>
        </w:tc>
      </w:tr>
      <w:tr w:rsidR="00BF4BD9" w:rsidRPr="00D7367D" w:rsidTr="00BF4BD9">
        <w:trPr>
          <w:trHeight w:val="3220"/>
        </w:trPr>
        <w:tc>
          <w:tcPr>
            <w:tcW w:w="10114" w:type="dxa"/>
            <w:gridSpan w:val="2"/>
          </w:tcPr>
          <w:p w:rsidR="00BF4BD9" w:rsidRPr="00C7483B" w:rsidRDefault="00BF4BD9" w:rsidP="00FE075A">
            <w:pPr>
              <w:pStyle w:val="TableParagraph"/>
              <w:spacing w:before="9"/>
              <w:ind w:left="74"/>
              <w:rPr>
                <w:sz w:val="24"/>
                <w:lang w:val="es-MX"/>
              </w:rPr>
            </w:pPr>
            <w:r w:rsidRPr="00C7483B">
              <w:rPr>
                <w:sz w:val="24"/>
                <w:lang w:val="es-MX"/>
              </w:rPr>
              <w:t>1.6 Objetivos específicos de la evaluación:</w:t>
            </w:r>
          </w:p>
          <w:p w:rsidR="00BF4BD9" w:rsidRPr="00C7483B" w:rsidRDefault="00BF4BD9" w:rsidP="00BF4BD9">
            <w:pPr>
              <w:pStyle w:val="TableParagraph"/>
              <w:numPr>
                <w:ilvl w:val="0"/>
                <w:numId w:val="1"/>
              </w:numPr>
              <w:tabs>
                <w:tab w:val="left" w:pos="160"/>
              </w:tabs>
              <w:spacing w:before="106" w:line="237" w:lineRule="auto"/>
              <w:ind w:right="736" w:firstLine="0"/>
              <w:rPr>
                <w:sz w:val="24"/>
                <w:lang w:val="es-MX"/>
              </w:rPr>
            </w:pPr>
            <w:r w:rsidRPr="00C7483B">
              <w:rPr>
                <w:sz w:val="24"/>
                <w:lang w:val="es-MX"/>
              </w:rPr>
              <w:t>Verificar</w:t>
            </w:r>
            <w:r w:rsidRPr="00C7483B">
              <w:rPr>
                <w:spacing w:val="-4"/>
                <w:sz w:val="24"/>
                <w:lang w:val="es-MX"/>
              </w:rPr>
              <w:t xml:space="preserve"> </w:t>
            </w:r>
            <w:r w:rsidRPr="00C7483B">
              <w:rPr>
                <w:sz w:val="24"/>
                <w:lang w:val="es-MX"/>
              </w:rPr>
              <w:t>las</w:t>
            </w:r>
            <w:r w:rsidRPr="00C7483B">
              <w:rPr>
                <w:spacing w:val="-5"/>
                <w:sz w:val="24"/>
                <w:lang w:val="es-MX"/>
              </w:rPr>
              <w:t xml:space="preserve"> </w:t>
            </w:r>
            <w:r w:rsidRPr="00C7483B">
              <w:rPr>
                <w:sz w:val="24"/>
                <w:lang w:val="es-MX"/>
              </w:rPr>
              <w:t>acciones</w:t>
            </w:r>
            <w:r w:rsidRPr="00C7483B">
              <w:rPr>
                <w:spacing w:val="-5"/>
                <w:sz w:val="24"/>
                <w:lang w:val="es-MX"/>
              </w:rPr>
              <w:t xml:space="preserve"> </w:t>
            </w:r>
            <w:r w:rsidRPr="00C7483B">
              <w:rPr>
                <w:sz w:val="24"/>
                <w:lang w:val="es-MX"/>
              </w:rPr>
              <w:t>realizadas</w:t>
            </w:r>
            <w:r w:rsidRPr="00C7483B">
              <w:rPr>
                <w:spacing w:val="-4"/>
                <w:sz w:val="24"/>
                <w:lang w:val="es-MX"/>
              </w:rPr>
              <w:t xml:space="preserve"> </w:t>
            </w:r>
            <w:r w:rsidRPr="00C7483B">
              <w:rPr>
                <w:sz w:val="24"/>
                <w:lang w:val="es-MX"/>
              </w:rPr>
              <w:t>mediante</w:t>
            </w:r>
            <w:r w:rsidRPr="00C7483B">
              <w:rPr>
                <w:spacing w:val="-4"/>
                <w:sz w:val="24"/>
                <w:lang w:val="es-MX"/>
              </w:rPr>
              <w:t xml:space="preserve"> </w:t>
            </w:r>
            <w:r w:rsidRPr="00C7483B">
              <w:rPr>
                <w:sz w:val="24"/>
                <w:lang w:val="es-MX"/>
              </w:rPr>
              <w:t>el</w:t>
            </w:r>
            <w:r w:rsidRPr="00C7483B">
              <w:rPr>
                <w:spacing w:val="-5"/>
                <w:sz w:val="24"/>
                <w:lang w:val="es-MX"/>
              </w:rPr>
              <w:t xml:space="preserve"> </w:t>
            </w:r>
            <w:r w:rsidRPr="00C7483B">
              <w:rPr>
                <w:sz w:val="24"/>
                <w:lang w:val="es-MX"/>
              </w:rPr>
              <w:t>análisis</w:t>
            </w:r>
            <w:r w:rsidRPr="00C7483B">
              <w:rPr>
                <w:spacing w:val="-5"/>
                <w:sz w:val="24"/>
                <w:lang w:val="es-MX"/>
              </w:rPr>
              <w:t xml:space="preserve"> </w:t>
            </w:r>
            <w:r w:rsidRPr="00C7483B">
              <w:rPr>
                <w:sz w:val="24"/>
                <w:lang w:val="es-MX"/>
              </w:rPr>
              <w:t>de</w:t>
            </w:r>
            <w:r w:rsidRPr="00C7483B">
              <w:rPr>
                <w:spacing w:val="-5"/>
                <w:sz w:val="24"/>
                <w:lang w:val="es-MX"/>
              </w:rPr>
              <w:t xml:space="preserve"> </w:t>
            </w:r>
            <w:r w:rsidRPr="00C7483B">
              <w:rPr>
                <w:sz w:val="24"/>
                <w:lang w:val="es-MX"/>
              </w:rPr>
              <w:t>objetivos</w:t>
            </w:r>
            <w:r w:rsidRPr="00C7483B">
              <w:rPr>
                <w:spacing w:val="-5"/>
                <w:sz w:val="24"/>
                <w:lang w:val="es-MX"/>
              </w:rPr>
              <w:t xml:space="preserve"> </w:t>
            </w:r>
            <w:r w:rsidRPr="00C7483B">
              <w:rPr>
                <w:sz w:val="24"/>
                <w:lang w:val="es-MX"/>
              </w:rPr>
              <w:t>y</w:t>
            </w:r>
            <w:r w:rsidRPr="00C7483B">
              <w:rPr>
                <w:spacing w:val="-4"/>
                <w:sz w:val="24"/>
                <w:lang w:val="es-MX"/>
              </w:rPr>
              <w:t xml:space="preserve"> </w:t>
            </w:r>
            <w:r w:rsidRPr="00C7483B">
              <w:rPr>
                <w:sz w:val="24"/>
                <w:lang w:val="es-MX"/>
              </w:rPr>
              <w:t>el</w:t>
            </w:r>
            <w:r w:rsidRPr="00C7483B">
              <w:rPr>
                <w:spacing w:val="-5"/>
                <w:sz w:val="24"/>
                <w:lang w:val="es-MX"/>
              </w:rPr>
              <w:t xml:space="preserve"> </w:t>
            </w:r>
            <w:r w:rsidRPr="00C7483B">
              <w:rPr>
                <w:sz w:val="24"/>
                <w:lang w:val="es-MX"/>
              </w:rPr>
              <w:t>cumplimiento</w:t>
            </w:r>
            <w:r w:rsidRPr="00C7483B">
              <w:rPr>
                <w:spacing w:val="-4"/>
                <w:sz w:val="24"/>
                <w:lang w:val="es-MX"/>
              </w:rPr>
              <w:t xml:space="preserve"> </w:t>
            </w:r>
            <w:r w:rsidRPr="00C7483B">
              <w:rPr>
                <w:sz w:val="24"/>
                <w:lang w:val="es-MX"/>
              </w:rPr>
              <w:t>de metas.</w:t>
            </w:r>
          </w:p>
          <w:p w:rsidR="00BF4BD9" w:rsidRPr="00C7483B" w:rsidRDefault="00BF4BD9" w:rsidP="00BF4BD9">
            <w:pPr>
              <w:pStyle w:val="TableParagraph"/>
              <w:numPr>
                <w:ilvl w:val="0"/>
                <w:numId w:val="1"/>
              </w:numPr>
              <w:tabs>
                <w:tab w:val="left" w:pos="160"/>
              </w:tabs>
              <w:spacing w:before="104"/>
              <w:ind w:firstLine="0"/>
              <w:rPr>
                <w:sz w:val="24"/>
                <w:lang w:val="es-MX"/>
              </w:rPr>
            </w:pPr>
            <w:r w:rsidRPr="00C7483B">
              <w:rPr>
                <w:sz w:val="24"/>
                <w:lang w:val="es-MX"/>
              </w:rPr>
              <w:t>Analizar y reportar la evolución de la cobertura de</w:t>
            </w:r>
            <w:r w:rsidRPr="00C7483B">
              <w:rPr>
                <w:spacing w:val="-9"/>
                <w:sz w:val="24"/>
                <w:lang w:val="es-MX"/>
              </w:rPr>
              <w:t xml:space="preserve"> </w:t>
            </w:r>
            <w:r w:rsidRPr="00C7483B">
              <w:rPr>
                <w:sz w:val="24"/>
                <w:lang w:val="es-MX"/>
              </w:rPr>
              <w:t>atención.</w:t>
            </w:r>
          </w:p>
          <w:p w:rsidR="00BF4BD9" w:rsidRPr="00C7483B" w:rsidRDefault="00BF4BD9" w:rsidP="00BF4BD9">
            <w:pPr>
              <w:pStyle w:val="TableParagraph"/>
              <w:numPr>
                <w:ilvl w:val="0"/>
                <w:numId w:val="1"/>
              </w:numPr>
              <w:tabs>
                <w:tab w:val="left" w:pos="160"/>
              </w:tabs>
              <w:spacing w:before="98"/>
              <w:ind w:firstLine="0"/>
              <w:rPr>
                <w:sz w:val="24"/>
                <w:lang w:val="es-MX"/>
              </w:rPr>
            </w:pPr>
            <w:r w:rsidRPr="00C7483B">
              <w:rPr>
                <w:sz w:val="24"/>
                <w:lang w:val="es-MX"/>
              </w:rPr>
              <w:t>Analizar la evolución del ejercicio de los</w:t>
            </w:r>
            <w:r w:rsidRPr="00C7483B">
              <w:rPr>
                <w:spacing w:val="-8"/>
                <w:sz w:val="24"/>
                <w:lang w:val="es-MX"/>
              </w:rPr>
              <w:t xml:space="preserve"> </w:t>
            </w:r>
            <w:r w:rsidRPr="00C7483B">
              <w:rPr>
                <w:sz w:val="24"/>
                <w:lang w:val="es-MX"/>
              </w:rPr>
              <w:t>recursos.</w:t>
            </w:r>
          </w:p>
          <w:p w:rsidR="00BF4BD9" w:rsidRPr="00C7483B" w:rsidRDefault="00BF4BD9" w:rsidP="00BF4BD9">
            <w:pPr>
              <w:pStyle w:val="TableParagraph"/>
              <w:numPr>
                <w:ilvl w:val="0"/>
                <w:numId w:val="1"/>
              </w:numPr>
              <w:tabs>
                <w:tab w:val="left" w:pos="160"/>
              </w:tabs>
              <w:spacing w:before="106" w:line="237" w:lineRule="auto"/>
              <w:ind w:right="98" w:firstLine="0"/>
              <w:rPr>
                <w:sz w:val="24"/>
                <w:lang w:val="es-MX"/>
              </w:rPr>
            </w:pPr>
            <w:r w:rsidRPr="00C7483B">
              <w:rPr>
                <w:sz w:val="24"/>
                <w:lang w:val="es-MX"/>
              </w:rPr>
              <w:t>Realizar</w:t>
            </w:r>
            <w:r w:rsidRPr="00C7483B">
              <w:rPr>
                <w:spacing w:val="-7"/>
                <w:sz w:val="24"/>
                <w:lang w:val="es-MX"/>
              </w:rPr>
              <w:t xml:space="preserve"> </w:t>
            </w:r>
            <w:r w:rsidRPr="00C7483B">
              <w:rPr>
                <w:sz w:val="24"/>
                <w:lang w:val="es-MX"/>
              </w:rPr>
              <w:t>un</w:t>
            </w:r>
            <w:r w:rsidRPr="00C7483B">
              <w:rPr>
                <w:spacing w:val="-7"/>
                <w:sz w:val="24"/>
                <w:lang w:val="es-MX"/>
              </w:rPr>
              <w:t xml:space="preserve"> </w:t>
            </w:r>
            <w:r w:rsidRPr="00C7483B">
              <w:rPr>
                <w:sz w:val="24"/>
                <w:lang w:val="es-MX"/>
              </w:rPr>
              <w:t>análisis</w:t>
            </w:r>
            <w:r w:rsidRPr="00C7483B">
              <w:rPr>
                <w:spacing w:val="-7"/>
                <w:sz w:val="24"/>
                <w:lang w:val="es-MX"/>
              </w:rPr>
              <w:t xml:space="preserve"> </w:t>
            </w:r>
            <w:r w:rsidRPr="00C7483B">
              <w:rPr>
                <w:sz w:val="24"/>
                <w:lang w:val="es-MX"/>
              </w:rPr>
              <w:t>interno</w:t>
            </w:r>
            <w:r w:rsidRPr="00C7483B">
              <w:rPr>
                <w:spacing w:val="-7"/>
                <w:sz w:val="24"/>
                <w:lang w:val="es-MX"/>
              </w:rPr>
              <w:t xml:space="preserve"> </w:t>
            </w:r>
            <w:r w:rsidRPr="00C7483B">
              <w:rPr>
                <w:sz w:val="24"/>
                <w:lang w:val="es-MX"/>
              </w:rPr>
              <w:t>que</w:t>
            </w:r>
            <w:r w:rsidRPr="00C7483B">
              <w:rPr>
                <w:spacing w:val="-7"/>
                <w:sz w:val="24"/>
                <w:lang w:val="es-MX"/>
              </w:rPr>
              <w:t xml:space="preserve"> </w:t>
            </w:r>
            <w:r w:rsidRPr="00C7483B">
              <w:rPr>
                <w:sz w:val="24"/>
                <w:lang w:val="es-MX"/>
              </w:rPr>
              <w:t>permita</w:t>
            </w:r>
            <w:r w:rsidRPr="00C7483B">
              <w:rPr>
                <w:spacing w:val="-7"/>
                <w:sz w:val="24"/>
                <w:lang w:val="es-MX"/>
              </w:rPr>
              <w:t xml:space="preserve"> </w:t>
            </w:r>
            <w:r w:rsidRPr="00C7483B">
              <w:rPr>
                <w:sz w:val="24"/>
                <w:lang w:val="es-MX"/>
              </w:rPr>
              <w:t>identificar</w:t>
            </w:r>
            <w:r w:rsidRPr="00C7483B">
              <w:rPr>
                <w:spacing w:val="-7"/>
                <w:sz w:val="24"/>
                <w:lang w:val="es-MX"/>
              </w:rPr>
              <w:t xml:space="preserve"> </w:t>
            </w:r>
            <w:r w:rsidRPr="00C7483B">
              <w:rPr>
                <w:sz w:val="24"/>
                <w:lang w:val="es-MX"/>
              </w:rPr>
              <w:t>las</w:t>
            </w:r>
            <w:r w:rsidRPr="00C7483B">
              <w:rPr>
                <w:spacing w:val="-7"/>
                <w:sz w:val="24"/>
                <w:lang w:val="es-MX"/>
              </w:rPr>
              <w:t xml:space="preserve"> </w:t>
            </w:r>
            <w:r w:rsidRPr="00C7483B">
              <w:rPr>
                <w:sz w:val="24"/>
                <w:lang w:val="es-MX"/>
              </w:rPr>
              <w:t>principales</w:t>
            </w:r>
            <w:r w:rsidRPr="00C7483B">
              <w:rPr>
                <w:spacing w:val="-7"/>
                <w:sz w:val="24"/>
                <w:lang w:val="es-MX"/>
              </w:rPr>
              <w:t xml:space="preserve"> </w:t>
            </w:r>
            <w:r w:rsidRPr="00C7483B">
              <w:rPr>
                <w:sz w:val="24"/>
                <w:lang w:val="es-MX"/>
              </w:rPr>
              <w:t>fortalezas</w:t>
            </w:r>
            <w:r w:rsidRPr="00C7483B">
              <w:rPr>
                <w:spacing w:val="-6"/>
                <w:sz w:val="24"/>
                <w:lang w:val="es-MX"/>
              </w:rPr>
              <w:t xml:space="preserve"> </w:t>
            </w:r>
            <w:r w:rsidRPr="00C7483B">
              <w:rPr>
                <w:sz w:val="24"/>
                <w:lang w:val="es-MX"/>
              </w:rPr>
              <w:t>y</w:t>
            </w:r>
            <w:r w:rsidRPr="00C7483B">
              <w:rPr>
                <w:spacing w:val="-6"/>
                <w:sz w:val="24"/>
                <w:lang w:val="es-MX"/>
              </w:rPr>
              <w:t xml:space="preserve"> </w:t>
            </w:r>
            <w:r w:rsidRPr="00C7483B">
              <w:rPr>
                <w:sz w:val="24"/>
                <w:lang w:val="es-MX"/>
              </w:rPr>
              <w:t>oportunidades, debilidades y amenazas, y emitir recomendaciones</w:t>
            </w:r>
            <w:r w:rsidRPr="00C7483B">
              <w:rPr>
                <w:spacing w:val="-9"/>
                <w:sz w:val="24"/>
                <w:lang w:val="es-MX"/>
              </w:rPr>
              <w:t xml:space="preserve"> </w:t>
            </w:r>
            <w:r w:rsidRPr="00C7483B">
              <w:rPr>
                <w:sz w:val="24"/>
                <w:lang w:val="es-MX"/>
              </w:rPr>
              <w:t>pertinentes.</w:t>
            </w:r>
          </w:p>
          <w:p w:rsidR="00BF4BD9" w:rsidRPr="00C7483B" w:rsidRDefault="00BF4BD9" w:rsidP="00BF4BD9">
            <w:pPr>
              <w:pStyle w:val="TableParagraph"/>
              <w:numPr>
                <w:ilvl w:val="0"/>
                <w:numId w:val="1"/>
              </w:numPr>
              <w:tabs>
                <w:tab w:val="left" w:pos="160"/>
              </w:tabs>
              <w:spacing w:before="104"/>
              <w:ind w:firstLine="0"/>
              <w:rPr>
                <w:sz w:val="24"/>
                <w:lang w:val="es-MX"/>
              </w:rPr>
            </w:pPr>
            <w:r w:rsidRPr="00C7483B">
              <w:rPr>
                <w:sz w:val="24"/>
                <w:lang w:val="es-MX"/>
              </w:rPr>
              <w:t>Identificar los hallazgos relevantes derivados de la</w:t>
            </w:r>
            <w:r w:rsidRPr="00C7483B">
              <w:rPr>
                <w:spacing w:val="-12"/>
                <w:sz w:val="24"/>
                <w:lang w:val="es-MX"/>
              </w:rPr>
              <w:t xml:space="preserve"> </w:t>
            </w:r>
            <w:r w:rsidRPr="00C7483B">
              <w:rPr>
                <w:sz w:val="24"/>
                <w:lang w:val="es-MX"/>
              </w:rPr>
              <w:t>evaluación.</w:t>
            </w:r>
          </w:p>
          <w:p w:rsidR="00BF4BD9" w:rsidRPr="00C7483B" w:rsidRDefault="00BF4BD9" w:rsidP="00BF4BD9">
            <w:pPr>
              <w:pStyle w:val="TableParagraph"/>
              <w:numPr>
                <w:ilvl w:val="0"/>
                <w:numId w:val="1"/>
              </w:numPr>
              <w:tabs>
                <w:tab w:val="left" w:pos="160"/>
              </w:tabs>
              <w:spacing w:before="103"/>
              <w:ind w:firstLine="0"/>
              <w:rPr>
                <w:sz w:val="24"/>
                <w:lang w:val="es-MX"/>
              </w:rPr>
            </w:pPr>
            <w:r w:rsidRPr="00C7483B">
              <w:rPr>
                <w:sz w:val="24"/>
                <w:lang w:val="es-MX"/>
              </w:rPr>
              <w:t>Identificar los principales Aspectos Susceptibles de Mejora</w:t>
            </w:r>
            <w:r w:rsidRPr="00C7483B">
              <w:rPr>
                <w:spacing w:val="-6"/>
                <w:sz w:val="24"/>
                <w:lang w:val="es-MX"/>
              </w:rPr>
              <w:t xml:space="preserve"> </w:t>
            </w:r>
            <w:r w:rsidRPr="00C7483B">
              <w:rPr>
                <w:sz w:val="24"/>
                <w:lang w:val="es-MX"/>
              </w:rPr>
              <w:t>(ASM).</w:t>
            </w:r>
          </w:p>
        </w:tc>
      </w:tr>
      <w:tr w:rsidR="00BF4BD9" w:rsidRPr="00D7367D" w:rsidTr="00BF4BD9">
        <w:trPr>
          <w:trHeight w:val="3921"/>
        </w:trPr>
        <w:tc>
          <w:tcPr>
            <w:tcW w:w="10114" w:type="dxa"/>
            <w:gridSpan w:val="2"/>
          </w:tcPr>
          <w:p w:rsidR="00BF4BD9" w:rsidRPr="00C7483B" w:rsidRDefault="00BF4BD9" w:rsidP="00FE075A">
            <w:pPr>
              <w:pStyle w:val="TableParagraph"/>
              <w:spacing w:before="9"/>
              <w:ind w:left="74"/>
              <w:rPr>
                <w:sz w:val="24"/>
                <w:lang w:val="es-MX"/>
              </w:rPr>
            </w:pPr>
            <w:r w:rsidRPr="00C7483B">
              <w:rPr>
                <w:sz w:val="24"/>
                <w:lang w:val="es-MX"/>
              </w:rPr>
              <w:t>1.7 Metodología utilizada en la evaluación:</w:t>
            </w:r>
          </w:p>
          <w:p w:rsidR="00BF4BD9" w:rsidRPr="00C7483B" w:rsidRDefault="00BF4BD9" w:rsidP="00FE075A">
            <w:pPr>
              <w:pStyle w:val="TableParagraph"/>
              <w:spacing w:before="104"/>
              <w:ind w:left="74" w:right="52"/>
              <w:rPr>
                <w:sz w:val="24"/>
                <w:lang w:val="es-MX"/>
              </w:rPr>
            </w:pPr>
            <w:r w:rsidRPr="00C7483B">
              <w:rPr>
                <w:sz w:val="24"/>
                <w:lang w:val="es-MX"/>
              </w:rPr>
              <w:t xml:space="preserve">La metodología está basada en los términos emitidos por Consejo Nacional de Evaluación de la Política de Desarrollo Social (CONEVAL), y que de acuerdo con las necesidades de información evaluativa que requiere el Gobierno Municipal de Zacatlán, </w:t>
            </w:r>
            <w:proofErr w:type="spellStart"/>
            <w:r w:rsidRPr="00C7483B">
              <w:rPr>
                <w:sz w:val="24"/>
                <w:lang w:val="es-MX"/>
              </w:rPr>
              <w:t>Pue</w:t>
            </w:r>
            <w:proofErr w:type="spellEnd"/>
            <w:r w:rsidRPr="00C7483B">
              <w:rPr>
                <w:sz w:val="24"/>
                <w:lang w:val="es-MX"/>
              </w:rPr>
              <w:t>., fueron adecuados algunos de los temas de análisis. En ese sentido, fue diseñada para generar información útil, rigurosa y homogénea para los Entes Públicos responsables de la ejecución de los recursos del FORTAMUN, de tal forma que contribuya a mejorar la toma de decisiones a nivel estratégico.</w:t>
            </w:r>
          </w:p>
          <w:p w:rsidR="00BF4BD9" w:rsidRPr="00C7483B" w:rsidRDefault="00BF4BD9" w:rsidP="00FE075A">
            <w:pPr>
              <w:pStyle w:val="TableParagraph"/>
              <w:spacing w:before="98"/>
              <w:ind w:left="74" w:right="786"/>
              <w:rPr>
                <w:sz w:val="24"/>
                <w:lang w:val="es-MX"/>
              </w:rPr>
            </w:pPr>
            <w:r w:rsidRPr="00C7483B">
              <w:rPr>
                <w:sz w:val="24"/>
                <w:lang w:val="es-MX"/>
              </w:rPr>
              <w:t>La metodología conlleva un “Análisis de Gabinete”; esto es, un análisis valorativo de la información contenida en registros administrativos, bases de datos, evaluaciones, documentos oficiales, documentos normativos y sistemas de información, entre otros; acopiados y remitidos por la Coordinación de Planeación y Evaluación del Gobierno Municipal.</w:t>
            </w:r>
          </w:p>
        </w:tc>
      </w:tr>
      <w:tr w:rsidR="00BF4BD9" w:rsidRPr="00D7367D" w:rsidTr="00BF4BD9">
        <w:trPr>
          <w:trHeight w:val="959"/>
        </w:trPr>
        <w:tc>
          <w:tcPr>
            <w:tcW w:w="10114" w:type="dxa"/>
            <w:gridSpan w:val="2"/>
          </w:tcPr>
          <w:p w:rsidR="00BF4BD9" w:rsidRPr="00C7483B" w:rsidRDefault="00BF4BD9" w:rsidP="00FE075A">
            <w:pPr>
              <w:pStyle w:val="TableParagraph"/>
              <w:spacing w:before="9"/>
              <w:ind w:left="74" w:right="120"/>
              <w:rPr>
                <w:sz w:val="24"/>
                <w:lang w:val="es-MX"/>
              </w:rPr>
            </w:pPr>
            <w:r w:rsidRPr="00C7483B">
              <w:rPr>
                <w:sz w:val="24"/>
                <w:lang w:val="es-MX"/>
              </w:rPr>
              <w:t>La Evaluación contiene 24 preguntas metodológicas agrupadas en cuatro temas, que son: Características del Fondo, Operación, Evolución de la Cobertura,  Resultados y Ejercicio de los Recursos,</w:t>
            </w:r>
          </w:p>
        </w:tc>
      </w:tr>
      <w:tr w:rsidR="00BF4BD9" w:rsidRPr="00D7367D" w:rsidTr="00BF4BD9">
        <w:trPr>
          <w:trHeight w:val="407"/>
        </w:trPr>
        <w:tc>
          <w:tcPr>
            <w:tcW w:w="10114" w:type="dxa"/>
            <w:gridSpan w:val="2"/>
          </w:tcPr>
          <w:p w:rsidR="00BF4BD9" w:rsidRPr="00C7483B" w:rsidRDefault="00BF4BD9" w:rsidP="00FE075A">
            <w:pPr>
              <w:pStyle w:val="TableParagraph"/>
              <w:spacing w:before="9"/>
              <w:ind w:left="74"/>
              <w:rPr>
                <w:sz w:val="24"/>
                <w:lang w:val="es-MX"/>
              </w:rPr>
            </w:pPr>
            <w:r w:rsidRPr="00C7483B">
              <w:rPr>
                <w:sz w:val="24"/>
                <w:lang w:val="es-MX"/>
              </w:rPr>
              <w:t>Instrumentos de recolección de información:</w:t>
            </w:r>
          </w:p>
        </w:tc>
      </w:tr>
      <w:tr w:rsidR="00BF4BD9" w:rsidRPr="00D07DC0" w:rsidTr="00BF4BD9">
        <w:trPr>
          <w:trHeight w:val="680"/>
        </w:trPr>
        <w:tc>
          <w:tcPr>
            <w:tcW w:w="10114" w:type="dxa"/>
            <w:gridSpan w:val="2"/>
          </w:tcPr>
          <w:p w:rsidR="00BF4BD9" w:rsidRPr="00C7483B" w:rsidRDefault="00BF4BD9" w:rsidP="00FE075A">
            <w:pPr>
              <w:pStyle w:val="TableParagraph"/>
              <w:tabs>
                <w:tab w:val="left" w:pos="1873"/>
                <w:tab w:val="left" w:pos="3394"/>
              </w:tabs>
              <w:spacing w:before="9" w:line="242" w:lineRule="auto"/>
              <w:ind w:left="74" w:right="1405" w:firstLine="66"/>
              <w:rPr>
                <w:sz w:val="24"/>
                <w:lang w:val="es-MX"/>
              </w:rPr>
            </w:pPr>
            <w:r w:rsidRPr="00C7483B">
              <w:rPr>
                <w:sz w:val="24"/>
                <w:lang w:val="es-MX"/>
              </w:rPr>
              <w:t>Cuestionarios</w:t>
            </w:r>
            <w:r w:rsidRPr="00C7483B">
              <w:rPr>
                <w:sz w:val="24"/>
                <w:u w:val="single"/>
                <w:lang w:val="es-MX"/>
              </w:rPr>
              <w:tab/>
            </w:r>
            <w:r w:rsidRPr="00C7483B">
              <w:rPr>
                <w:sz w:val="24"/>
                <w:lang w:val="es-MX"/>
              </w:rPr>
              <w:t>Entrevistas</w:t>
            </w:r>
            <w:r w:rsidRPr="00C7483B">
              <w:rPr>
                <w:sz w:val="24"/>
                <w:u w:val="single"/>
                <w:lang w:val="es-MX"/>
              </w:rPr>
              <w:tab/>
            </w:r>
            <w:proofErr w:type="spellStart"/>
            <w:r w:rsidRPr="00C7483B">
              <w:rPr>
                <w:sz w:val="24"/>
                <w:lang w:val="es-MX"/>
              </w:rPr>
              <w:t>Formatos_x</w:t>
            </w:r>
            <w:proofErr w:type="spellEnd"/>
            <w:r w:rsidRPr="00C7483B">
              <w:rPr>
                <w:sz w:val="24"/>
                <w:lang w:val="es-MX"/>
              </w:rPr>
              <w:t xml:space="preserve">_ </w:t>
            </w:r>
            <w:proofErr w:type="spellStart"/>
            <w:r w:rsidRPr="00C7483B">
              <w:rPr>
                <w:sz w:val="24"/>
                <w:lang w:val="es-MX"/>
              </w:rPr>
              <w:t>Otros_x</w:t>
            </w:r>
            <w:proofErr w:type="spellEnd"/>
            <w:r w:rsidRPr="00C7483B">
              <w:rPr>
                <w:sz w:val="24"/>
                <w:lang w:val="es-MX"/>
              </w:rPr>
              <w:t>_ Especifique: Documentos oficializados, y documentos y bases de datos recuperados de</w:t>
            </w:r>
            <w:r w:rsidRPr="00C7483B">
              <w:rPr>
                <w:spacing w:val="-20"/>
                <w:sz w:val="24"/>
                <w:lang w:val="es-MX"/>
              </w:rPr>
              <w:t xml:space="preserve"> </w:t>
            </w:r>
            <w:r w:rsidRPr="00C7483B">
              <w:rPr>
                <w:sz w:val="24"/>
                <w:lang w:val="es-MX"/>
              </w:rPr>
              <w:t>internet.</w:t>
            </w:r>
          </w:p>
        </w:tc>
      </w:tr>
      <w:tr w:rsidR="00BF4BD9" w:rsidRPr="00D7367D" w:rsidTr="00BF4BD9">
        <w:trPr>
          <w:trHeight w:val="786"/>
        </w:trPr>
        <w:tc>
          <w:tcPr>
            <w:tcW w:w="10114" w:type="dxa"/>
            <w:gridSpan w:val="2"/>
          </w:tcPr>
          <w:p w:rsidR="00BF4BD9" w:rsidRPr="00C7483B" w:rsidRDefault="00BF4BD9" w:rsidP="00FE075A">
            <w:pPr>
              <w:pStyle w:val="TableParagraph"/>
              <w:spacing w:before="14"/>
              <w:ind w:left="74"/>
              <w:rPr>
                <w:sz w:val="24"/>
                <w:lang w:val="es-MX"/>
              </w:rPr>
            </w:pPr>
            <w:r w:rsidRPr="00C7483B">
              <w:rPr>
                <w:sz w:val="24"/>
                <w:lang w:val="es-MX"/>
              </w:rPr>
              <w:t>Descripción de las técnicas y modelos utilizados:</w:t>
            </w:r>
          </w:p>
          <w:p w:rsidR="00BF4BD9" w:rsidRPr="00C7483B" w:rsidRDefault="00BF4BD9" w:rsidP="00FE075A">
            <w:pPr>
              <w:pStyle w:val="TableParagraph"/>
              <w:spacing w:before="99"/>
              <w:ind w:left="74"/>
              <w:rPr>
                <w:sz w:val="24"/>
                <w:lang w:val="es-MX"/>
              </w:rPr>
            </w:pPr>
            <w:r w:rsidRPr="00C7483B">
              <w:rPr>
                <w:sz w:val="24"/>
                <w:lang w:val="es-MX"/>
              </w:rPr>
              <w:t>Respuestas binarias justificadas y análisis descriptivo y explicativo.</w:t>
            </w:r>
          </w:p>
        </w:tc>
      </w:tr>
    </w:tbl>
    <w:p w:rsidR="00BF4BD9" w:rsidRDefault="00BF4BD9" w:rsidP="00BF4BD9">
      <w:pPr>
        <w:pStyle w:val="Textoindependiente"/>
        <w:rPr>
          <w:rFonts w:ascii="Times New Roman"/>
          <w:sz w:val="20"/>
        </w:rPr>
      </w:pPr>
    </w:p>
    <w:tbl>
      <w:tblPr>
        <w:tblStyle w:val="TableNormal1"/>
        <w:tblW w:w="10114" w:type="dxa"/>
        <w:tblInd w:w="1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114"/>
      </w:tblGrid>
      <w:tr w:rsidR="00BF4BD9" w:rsidRPr="00D7367D" w:rsidTr="00BF4BD9">
        <w:trPr>
          <w:trHeight w:val="455"/>
        </w:trPr>
        <w:tc>
          <w:tcPr>
            <w:tcW w:w="10114" w:type="dxa"/>
            <w:shd w:val="clear" w:color="auto" w:fill="00AFEF"/>
          </w:tcPr>
          <w:p w:rsidR="00BF4BD9" w:rsidRPr="00C7483B" w:rsidRDefault="00BF4BD9" w:rsidP="00FE075A">
            <w:pPr>
              <w:pStyle w:val="TableParagraph"/>
              <w:spacing w:before="20"/>
              <w:ind w:left="2289"/>
              <w:rPr>
                <w:b/>
                <w:sz w:val="21"/>
                <w:lang w:val="es-MX"/>
              </w:rPr>
            </w:pPr>
            <w:r w:rsidRPr="00C7483B">
              <w:rPr>
                <w:b/>
                <w:color w:val="FFFFFF"/>
                <w:sz w:val="28"/>
                <w:lang w:val="es-MX"/>
              </w:rPr>
              <w:t>2. P</w:t>
            </w:r>
            <w:r w:rsidRPr="00C7483B">
              <w:rPr>
                <w:b/>
                <w:color w:val="FFFFFF"/>
                <w:sz w:val="21"/>
                <w:lang w:val="es-MX"/>
              </w:rPr>
              <w:t xml:space="preserve">RINCIPALES </w:t>
            </w:r>
            <w:r w:rsidRPr="00C7483B">
              <w:rPr>
                <w:b/>
                <w:color w:val="FFFFFF"/>
                <w:sz w:val="28"/>
                <w:lang w:val="es-MX"/>
              </w:rPr>
              <w:t>H</w:t>
            </w:r>
            <w:r w:rsidRPr="00C7483B">
              <w:rPr>
                <w:b/>
                <w:color w:val="FFFFFF"/>
                <w:sz w:val="21"/>
                <w:lang w:val="es-MX"/>
              </w:rPr>
              <w:t>ALLAZGOS DE LA EVALUACIÓN</w:t>
            </w:r>
          </w:p>
        </w:tc>
      </w:tr>
      <w:tr w:rsidR="00BF4BD9" w:rsidRPr="00D7367D" w:rsidTr="00BF4BD9">
        <w:trPr>
          <w:trHeight w:val="4353"/>
        </w:trPr>
        <w:tc>
          <w:tcPr>
            <w:tcW w:w="10114" w:type="dxa"/>
          </w:tcPr>
          <w:p w:rsidR="00BF4BD9" w:rsidRPr="00C7483B" w:rsidRDefault="00BF4BD9" w:rsidP="00FE075A">
            <w:pPr>
              <w:pStyle w:val="TableParagraph"/>
              <w:spacing w:before="9"/>
              <w:ind w:left="74"/>
              <w:rPr>
                <w:sz w:val="24"/>
                <w:szCs w:val="24"/>
                <w:lang w:val="es-MX"/>
              </w:rPr>
            </w:pPr>
            <w:r w:rsidRPr="00C7483B">
              <w:rPr>
                <w:sz w:val="24"/>
                <w:szCs w:val="24"/>
                <w:lang w:val="es-MX"/>
              </w:rPr>
              <w:t>2.1 Describir los hallazgos más relevantes de la evaluación:</w:t>
            </w:r>
          </w:p>
          <w:p w:rsidR="00BF4BD9" w:rsidRPr="00C7483B" w:rsidRDefault="00BF4BD9" w:rsidP="00FE075A">
            <w:pPr>
              <w:pStyle w:val="TableParagraph"/>
              <w:spacing w:before="113" w:line="249" w:lineRule="auto"/>
              <w:ind w:left="74" w:right="335"/>
              <w:rPr>
                <w:sz w:val="24"/>
                <w:szCs w:val="24"/>
                <w:lang w:val="es-MX"/>
              </w:rPr>
            </w:pPr>
            <w:r w:rsidRPr="00C7483B">
              <w:rPr>
                <w:w w:val="105"/>
                <w:sz w:val="24"/>
                <w:szCs w:val="24"/>
                <w:lang w:val="es-MX"/>
              </w:rPr>
              <w:t>En la revisión de la información proporcionada por el Municipio de Zacatlán, así como en la revisión del portal oficial de internet, no se identificó ningún documento que proporcione un diagnóstico, así como un documento que muestre la división de actividades, las competencias, los derechos y las obligaciones de los actores o dependencias involucradas en el ejercicio de los recursos del FORTAMUN-DF.</w:t>
            </w:r>
          </w:p>
          <w:p w:rsidR="00BF4BD9" w:rsidRPr="00C7483B" w:rsidRDefault="00BF4BD9" w:rsidP="00FE075A">
            <w:pPr>
              <w:pStyle w:val="TableParagraph"/>
              <w:spacing w:before="107" w:line="252" w:lineRule="auto"/>
              <w:ind w:left="74"/>
              <w:rPr>
                <w:sz w:val="24"/>
                <w:szCs w:val="24"/>
                <w:lang w:val="es-MX"/>
              </w:rPr>
            </w:pPr>
            <w:r w:rsidRPr="00C7483B">
              <w:rPr>
                <w:w w:val="105"/>
                <w:sz w:val="24"/>
                <w:szCs w:val="24"/>
                <w:lang w:val="es-MX"/>
              </w:rPr>
              <w:t>Existe una relación fiscal intergubernamental que se cumple en tiempo y forma -artículos 36, 37, 38 y 48 de la Ley de Coordinación Fiscal- de acuerdo con los calendarios oficiales de distribución de los recursos, publicados tanto a nivel federal (a través del DOF), como a nivel estatal (a través del anexo al periódico oficial estatal).</w:t>
            </w:r>
          </w:p>
          <w:p w:rsidR="00BF4BD9" w:rsidRPr="00C7483B" w:rsidRDefault="00BF4BD9" w:rsidP="00FE075A">
            <w:pPr>
              <w:pStyle w:val="TableParagraph"/>
              <w:spacing w:before="100" w:line="252" w:lineRule="auto"/>
              <w:ind w:left="74" w:right="599"/>
              <w:rPr>
                <w:sz w:val="24"/>
                <w:szCs w:val="24"/>
                <w:lang w:val="es-MX"/>
              </w:rPr>
            </w:pPr>
            <w:r w:rsidRPr="00C7483B">
              <w:rPr>
                <w:w w:val="105"/>
                <w:sz w:val="24"/>
                <w:szCs w:val="24"/>
                <w:lang w:val="es-MX"/>
              </w:rPr>
              <w:t xml:space="preserve">Para las acciones del Fondo, identificadas como proyectos de inversión, no se cuenta con mecanismos para definir y cuantificar a la población potencial, </w:t>
            </w:r>
            <w:proofErr w:type="gramStart"/>
            <w:r w:rsidRPr="00C7483B">
              <w:rPr>
                <w:w w:val="105"/>
                <w:sz w:val="24"/>
                <w:szCs w:val="24"/>
                <w:lang w:val="es-MX"/>
              </w:rPr>
              <w:t>objetivo</w:t>
            </w:r>
            <w:proofErr w:type="gramEnd"/>
            <w:r w:rsidRPr="00C7483B">
              <w:rPr>
                <w:w w:val="105"/>
                <w:sz w:val="24"/>
                <w:szCs w:val="24"/>
                <w:lang w:val="es-MX"/>
              </w:rPr>
              <w:t xml:space="preserve"> y atendida.</w:t>
            </w:r>
          </w:p>
          <w:p w:rsidR="00BF4BD9" w:rsidRPr="00C7483B" w:rsidRDefault="00BF4BD9" w:rsidP="00FE075A">
            <w:pPr>
              <w:pStyle w:val="TableParagraph"/>
              <w:spacing w:before="97" w:line="252" w:lineRule="auto"/>
              <w:ind w:left="74" w:right="193"/>
              <w:rPr>
                <w:sz w:val="24"/>
                <w:szCs w:val="24"/>
                <w:lang w:val="es-MX"/>
              </w:rPr>
            </w:pPr>
            <w:r w:rsidRPr="00C7483B">
              <w:rPr>
                <w:w w:val="105"/>
                <w:sz w:val="24"/>
                <w:szCs w:val="24"/>
                <w:lang w:val="es-MX"/>
              </w:rPr>
              <w:t>El Municipio cuenta con lineamientos claros y suficientes para vigilar que las aportaciones del FORTAMUN-DF se destinen a los mandatos establecidos en la Ley de Coordinación Fiscal y demás normatividad aplicable.</w:t>
            </w:r>
          </w:p>
        </w:tc>
      </w:tr>
      <w:tr w:rsidR="00BF4BD9" w:rsidRPr="00D7367D" w:rsidTr="00BF4BD9">
        <w:trPr>
          <w:trHeight w:val="681"/>
        </w:trPr>
        <w:tc>
          <w:tcPr>
            <w:tcW w:w="10114" w:type="dxa"/>
          </w:tcPr>
          <w:p w:rsidR="00BF4BD9" w:rsidRPr="00C7483B" w:rsidRDefault="00BF4BD9" w:rsidP="00FE075A">
            <w:pPr>
              <w:pStyle w:val="TableParagraph"/>
              <w:spacing w:before="12" w:line="237" w:lineRule="auto"/>
              <w:ind w:left="74" w:right="199"/>
              <w:rPr>
                <w:sz w:val="24"/>
                <w:lang w:val="es-MX"/>
              </w:rPr>
            </w:pPr>
            <w:r w:rsidRPr="00C7483B">
              <w:rPr>
                <w:sz w:val="24"/>
                <w:lang w:val="es-MX"/>
              </w:rPr>
              <w:t>2.2 Señalar cuáles son las principales Fortalezas, Oportunidades, de acuerdo con los temas del Programa, estrategia o instituciones.</w:t>
            </w:r>
          </w:p>
        </w:tc>
      </w:tr>
      <w:tr w:rsidR="00BF4BD9" w:rsidRPr="00587462" w:rsidTr="00BF4BD9">
        <w:trPr>
          <w:trHeight w:val="3239"/>
        </w:trPr>
        <w:tc>
          <w:tcPr>
            <w:tcW w:w="10114" w:type="dxa"/>
          </w:tcPr>
          <w:p w:rsidR="00BF4BD9" w:rsidRPr="00C7483B" w:rsidRDefault="00BF4BD9" w:rsidP="00FE075A">
            <w:pPr>
              <w:pStyle w:val="TableParagraph"/>
              <w:spacing w:before="9"/>
              <w:ind w:left="74"/>
              <w:rPr>
                <w:sz w:val="24"/>
                <w:szCs w:val="24"/>
                <w:lang w:val="es-MX"/>
              </w:rPr>
            </w:pPr>
            <w:r w:rsidRPr="00C7483B">
              <w:rPr>
                <w:sz w:val="24"/>
                <w:szCs w:val="24"/>
                <w:lang w:val="es-MX"/>
              </w:rPr>
              <w:t>2.2.1 Fortalezas:</w:t>
            </w:r>
          </w:p>
          <w:p w:rsidR="00BF4BD9" w:rsidRPr="00C7483B" w:rsidRDefault="00BF4BD9" w:rsidP="00FE075A">
            <w:pPr>
              <w:pStyle w:val="TableParagraph"/>
              <w:spacing w:before="113" w:line="249" w:lineRule="auto"/>
              <w:ind w:left="74"/>
              <w:rPr>
                <w:sz w:val="24"/>
                <w:szCs w:val="24"/>
                <w:lang w:val="es-MX"/>
              </w:rPr>
            </w:pPr>
            <w:r w:rsidRPr="00C7483B">
              <w:rPr>
                <w:w w:val="105"/>
                <w:sz w:val="24"/>
                <w:szCs w:val="24"/>
                <w:lang w:val="es-MX"/>
              </w:rPr>
              <w:t>Los recursos del FORTAMUN-DF por el Municipio de Zacatlán se destinaron de acuerdo a los requerimientos del Presupuesto de Egresos de la Federación 2017 y al Artículo 37 de la Ley de Coordinación Fiscal (LCF).</w:t>
            </w:r>
          </w:p>
          <w:p w:rsidR="00BF4BD9" w:rsidRPr="00C7483B" w:rsidRDefault="00BF4BD9" w:rsidP="00FE075A">
            <w:pPr>
              <w:pStyle w:val="TableParagraph"/>
              <w:spacing w:before="105" w:line="252" w:lineRule="auto"/>
              <w:ind w:left="74"/>
              <w:rPr>
                <w:sz w:val="24"/>
                <w:szCs w:val="24"/>
                <w:lang w:val="es-MX"/>
              </w:rPr>
            </w:pPr>
            <w:r w:rsidRPr="00C7483B">
              <w:rPr>
                <w:w w:val="105"/>
                <w:sz w:val="24"/>
                <w:szCs w:val="24"/>
                <w:lang w:val="es-MX"/>
              </w:rPr>
              <w:t>Existe una relación fiscal intergubernamental que se cumple en tiempo y forma -artículos 36, 37, 38 y 48 de la Ley de Coordinación Fiscal- de acuerdo con los calendarios oficiales de distribución de los recursos, publicados tanto a nivel federal (a través del DOF), como a nivel estatal (a través del anexo al periódico oficial estatal).</w:t>
            </w:r>
          </w:p>
          <w:p w:rsidR="00BF4BD9" w:rsidRPr="00C7483B" w:rsidRDefault="00BF4BD9" w:rsidP="00FE075A">
            <w:pPr>
              <w:pStyle w:val="TableParagraph"/>
              <w:spacing w:before="100" w:line="249" w:lineRule="auto"/>
              <w:ind w:left="74" w:right="84"/>
              <w:rPr>
                <w:sz w:val="24"/>
                <w:szCs w:val="24"/>
                <w:lang w:val="es-MX"/>
              </w:rPr>
            </w:pPr>
            <w:r w:rsidRPr="00C7483B">
              <w:rPr>
                <w:w w:val="105"/>
                <w:sz w:val="24"/>
                <w:szCs w:val="24"/>
                <w:lang w:val="es-MX"/>
              </w:rPr>
              <w:t>La entrega de los recursos del Fondo al municipio de Zacatlán se realizó en tiempo y forma, ya que cuenta con los comprobantes de pago; y existe congruencia entre la normatividad aplicable y el destino del gasto.</w:t>
            </w:r>
          </w:p>
        </w:tc>
      </w:tr>
      <w:tr w:rsidR="00BF4BD9" w:rsidRPr="00587462" w:rsidTr="00BF4BD9">
        <w:trPr>
          <w:trHeight w:val="892"/>
        </w:trPr>
        <w:tc>
          <w:tcPr>
            <w:tcW w:w="10114" w:type="dxa"/>
          </w:tcPr>
          <w:p w:rsidR="00BF4BD9" w:rsidRPr="00C7483B" w:rsidRDefault="00BF4BD9" w:rsidP="00FE075A">
            <w:pPr>
              <w:pStyle w:val="TableParagraph"/>
              <w:spacing w:before="18" w:line="252" w:lineRule="auto"/>
              <w:ind w:left="74"/>
              <w:rPr>
                <w:sz w:val="24"/>
                <w:szCs w:val="24"/>
                <w:lang w:val="es-MX"/>
              </w:rPr>
            </w:pPr>
            <w:r w:rsidRPr="00C7483B">
              <w:rPr>
                <w:w w:val="105"/>
                <w:sz w:val="24"/>
                <w:szCs w:val="24"/>
                <w:lang w:val="es-MX"/>
              </w:rPr>
              <w:t>El Municipio realiza Trimestralmente la captura del avance a las metas de los indicadores de la MIR, así como el avance a nivel proyecto y financiero del SFU, en el Portal Aplicativo de la Secretaría de Hacienda y Crédito Público (PASH) del Sistema del Formato Único (SFU).</w:t>
            </w:r>
          </w:p>
        </w:tc>
      </w:tr>
      <w:tr w:rsidR="00BF4BD9" w:rsidRPr="00587462" w:rsidTr="00BF4BD9">
        <w:trPr>
          <w:trHeight w:val="3594"/>
        </w:trPr>
        <w:tc>
          <w:tcPr>
            <w:tcW w:w="10114" w:type="dxa"/>
          </w:tcPr>
          <w:p w:rsidR="00BF4BD9" w:rsidRPr="00C7483B" w:rsidRDefault="00BF4BD9" w:rsidP="00FE075A">
            <w:pPr>
              <w:pStyle w:val="TableParagraph"/>
              <w:spacing w:before="9"/>
              <w:ind w:left="74"/>
              <w:rPr>
                <w:sz w:val="24"/>
                <w:szCs w:val="24"/>
                <w:lang w:val="es-MX"/>
              </w:rPr>
            </w:pPr>
            <w:r w:rsidRPr="00C7483B">
              <w:rPr>
                <w:sz w:val="24"/>
                <w:szCs w:val="24"/>
                <w:lang w:val="es-MX"/>
              </w:rPr>
              <w:t>2.2.2 Debilidades y Oportunidades:</w:t>
            </w:r>
          </w:p>
          <w:p w:rsidR="00BF4BD9" w:rsidRPr="00C7483B" w:rsidRDefault="00BF4BD9" w:rsidP="00FE075A">
            <w:pPr>
              <w:pStyle w:val="TableParagraph"/>
              <w:spacing w:before="108" w:line="252" w:lineRule="auto"/>
              <w:ind w:left="74" w:right="337"/>
              <w:rPr>
                <w:sz w:val="24"/>
                <w:szCs w:val="24"/>
                <w:lang w:val="es-MX"/>
              </w:rPr>
            </w:pPr>
            <w:r w:rsidRPr="00C7483B">
              <w:rPr>
                <w:w w:val="105"/>
                <w:sz w:val="24"/>
                <w:szCs w:val="24"/>
                <w:lang w:val="es-MX"/>
              </w:rPr>
              <w:t>En la revisión de la información proporcionada por el Municipio de Zacatlán, así como en la revisión del portal oficial de internet, no se identificó ningún documento que proporcione un diagnóstico, así como un documento que muestre la división de actividades, las competencias, los derechos y las obligaciones de los actores o dependencias involucradas en el ejercicio de los recursos del FORTAMUN-DF.</w:t>
            </w:r>
          </w:p>
          <w:p w:rsidR="00BF4BD9" w:rsidRPr="00C7483B" w:rsidRDefault="00BF4BD9" w:rsidP="00FE075A">
            <w:pPr>
              <w:pStyle w:val="TableParagraph"/>
              <w:spacing w:before="98" w:line="252" w:lineRule="auto"/>
              <w:ind w:left="74" w:right="599"/>
              <w:rPr>
                <w:sz w:val="24"/>
                <w:szCs w:val="24"/>
                <w:lang w:val="es-MX"/>
              </w:rPr>
            </w:pPr>
            <w:r w:rsidRPr="00C7483B">
              <w:rPr>
                <w:w w:val="105"/>
                <w:sz w:val="24"/>
                <w:szCs w:val="24"/>
                <w:lang w:val="es-MX"/>
              </w:rPr>
              <w:t xml:space="preserve">Para las acciones del Fondo, identificadas como proyectos de inversión, no se cuenta con mecanismos para definir y cuantificar a la población potencial, </w:t>
            </w:r>
            <w:proofErr w:type="gramStart"/>
            <w:r w:rsidRPr="00C7483B">
              <w:rPr>
                <w:w w:val="105"/>
                <w:sz w:val="24"/>
                <w:szCs w:val="24"/>
                <w:lang w:val="es-MX"/>
              </w:rPr>
              <w:t>objetivo</w:t>
            </w:r>
            <w:proofErr w:type="gramEnd"/>
            <w:r w:rsidRPr="00C7483B">
              <w:rPr>
                <w:w w:val="105"/>
                <w:sz w:val="24"/>
                <w:szCs w:val="24"/>
                <w:lang w:val="es-MX"/>
              </w:rPr>
              <w:t xml:space="preserve"> y atendida.</w:t>
            </w:r>
          </w:p>
          <w:p w:rsidR="00BF4BD9" w:rsidRPr="00C7483B" w:rsidRDefault="00BF4BD9" w:rsidP="00FE075A">
            <w:pPr>
              <w:pStyle w:val="TableParagraph"/>
              <w:spacing w:before="102" w:line="252" w:lineRule="auto"/>
              <w:ind w:left="74"/>
              <w:rPr>
                <w:sz w:val="24"/>
                <w:szCs w:val="24"/>
                <w:lang w:val="es-MX"/>
              </w:rPr>
            </w:pPr>
          </w:p>
        </w:tc>
      </w:tr>
      <w:tr w:rsidR="00BF4BD9" w:rsidRPr="00587462" w:rsidTr="00BF4BD9">
        <w:trPr>
          <w:trHeight w:val="455"/>
        </w:trPr>
        <w:tc>
          <w:tcPr>
            <w:tcW w:w="10114" w:type="dxa"/>
            <w:tcBorders>
              <w:bottom w:val="single" w:sz="12" w:space="0" w:color="000000"/>
            </w:tcBorders>
            <w:shd w:val="clear" w:color="auto" w:fill="00AFEF"/>
          </w:tcPr>
          <w:p w:rsidR="00BF4BD9" w:rsidRPr="00C7483B" w:rsidRDefault="00BF4BD9" w:rsidP="00FE075A">
            <w:pPr>
              <w:pStyle w:val="TableParagraph"/>
              <w:spacing w:before="15"/>
              <w:ind w:left="1600"/>
              <w:rPr>
                <w:b/>
                <w:sz w:val="24"/>
                <w:szCs w:val="24"/>
                <w:lang w:val="es-MX"/>
              </w:rPr>
            </w:pPr>
            <w:r w:rsidRPr="00C7483B">
              <w:rPr>
                <w:b/>
                <w:color w:val="FFFFFF"/>
                <w:sz w:val="24"/>
                <w:szCs w:val="24"/>
                <w:lang w:val="es-MX"/>
              </w:rPr>
              <w:t>3. CONCLUSIONES Y RECOMENDACIONES DE LA EVALUACIÓN</w:t>
            </w:r>
          </w:p>
        </w:tc>
      </w:tr>
    </w:tbl>
    <w:p w:rsidR="00BF4BD9" w:rsidRDefault="00BF4BD9" w:rsidP="00BF4BD9">
      <w:pPr>
        <w:ind w:right="-1085"/>
      </w:pPr>
    </w:p>
    <w:tbl>
      <w:tblPr>
        <w:tblStyle w:val="TableNormal1"/>
        <w:tblW w:w="0" w:type="auto"/>
        <w:tblInd w:w="1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114"/>
      </w:tblGrid>
      <w:tr w:rsidR="00BF4BD9" w:rsidRPr="00587462" w:rsidTr="00BF4BD9">
        <w:trPr>
          <w:trHeight w:val="4338"/>
        </w:trPr>
        <w:tc>
          <w:tcPr>
            <w:tcW w:w="10114" w:type="dxa"/>
            <w:tcBorders>
              <w:top w:val="single" w:sz="12" w:space="0" w:color="000000"/>
            </w:tcBorders>
          </w:tcPr>
          <w:p w:rsidR="00BF4BD9" w:rsidRPr="00C7483B" w:rsidRDefault="00BF4BD9" w:rsidP="00FE075A">
            <w:pPr>
              <w:pStyle w:val="TableParagraph"/>
              <w:spacing w:before="9"/>
              <w:ind w:left="74"/>
              <w:rPr>
                <w:sz w:val="24"/>
                <w:szCs w:val="24"/>
                <w:lang w:val="es-MX"/>
              </w:rPr>
            </w:pPr>
            <w:r w:rsidRPr="00C7483B">
              <w:rPr>
                <w:sz w:val="24"/>
                <w:szCs w:val="24"/>
                <w:lang w:val="es-MX"/>
              </w:rPr>
              <w:t>3.1 Describir brevemente las conclusiones de la evaluación:</w:t>
            </w:r>
          </w:p>
          <w:p w:rsidR="00BF4BD9" w:rsidRPr="00C7483B" w:rsidRDefault="00BF4BD9" w:rsidP="00FE075A">
            <w:pPr>
              <w:pStyle w:val="TableParagraph"/>
              <w:spacing w:before="99"/>
              <w:ind w:left="74"/>
              <w:rPr>
                <w:sz w:val="24"/>
                <w:szCs w:val="24"/>
                <w:lang w:val="es-MX"/>
              </w:rPr>
            </w:pPr>
            <w:r w:rsidRPr="00C7483B">
              <w:rPr>
                <w:sz w:val="24"/>
                <w:szCs w:val="24"/>
                <w:lang w:val="es-MX"/>
              </w:rPr>
              <w:t>El municipio de Zacatlán Puebla recibió por concepto del FORTAMUN-DF la cantidad de</w:t>
            </w:r>
          </w:p>
          <w:p w:rsidR="00BF4BD9" w:rsidRPr="00C7483B" w:rsidRDefault="00BF4BD9" w:rsidP="00FE075A">
            <w:pPr>
              <w:pStyle w:val="TableParagraph"/>
              <w:spacing w:before="2"/>
              <w:ind w:left="74" w:right="120"/>
              <w:rPr>
                <w:sz w:val="24"/>
                <w:szCs w:val="24"/>
                <w:lang w:val="es-MX"/>
              </w:rPr>
            </w:pPr>
            <w:r w:rsidRPr="00C7483B">
              <w:rPr>
                <w:sz w:val="24"/>
                <w:szCs w:val="24"/>
                <w:lang w:val="es-MX"/>
              </w:rPr>
              <w:t>$46</w:t>
            </w:r>
            <w:proofErr w:type="gramStart"/>
            <w:r w:rsidRPr="00C7483B">
              <w:rPr>
                <w:sz w:val="24"/>
                <w:szCs w:val="24"/>
                <w:lang w:val="es-MX"/>
              </w:rPr>
              <w:t>,139,133.00</w:t>
            </w:r>
            <w:proofErr w:type="gramEnd"/>
            <w:r w:rsidRPr="00C7483B">
              <w:rPr>
                <w:sz w:val="24"/>
                <w:szCs w:val="24"/>
                <w:lang w:val="es-MX"/>
              </w:rPr>
              <w:t>, el cual será distribuido de manera mensual por partes iguales con base en el calendario de ministración federal y estatal para invertirlo conforme lo señala el artículo 37 de la Ley de Coordinación Fiscal (LCF), y para el seguimiento y monitoreo utiliza la Matriz de Indicadores para Resultados (MIR) Federal del Fondo, ya que no se cuenta con una a nivel municipal.</w:t>
            </w:r>
          </w:p>
          <w:p w:rsidR="00BF4BD9" w:rsidRPr="00C7483B" w:rsidRDefault="00BF4BD9" w:rsidP="00FE075A">
            <w:pPr>
              <w:pStyle w:val="TableParagraph"/>
              <w:spacing w:before="105" w:line="237" w:lineRule="auto"/>
              <w:ind w:left="74" w:right="120"/>
              <w:rPr>
                <w:sz w:val="24"/>
                <w:szCs w:val="24"/>
                <w:lang w:val="es-MX"/>
              </w:rPr>
            </w:pPr>
            <w:r w:rsidRPr="00C7483B">
              <w:rPr>
                <w:sz w:val="24"/>
                <w:szCs w:val="24"/>
                <w:lang w:val="es-MX"/>
              </w:rPr>
              <w:t>Por su parte el destino de los recursos es el adecuado de acuerdo con el artículo 37 de la Ley de Coordinación Fiscal.</w:t>
            </w:r>
          </w:p>
          <w:p w:rsidR="00BF4BD9" w:rsidRPr="00C7483B" w:rsidRDefault="00BF4BD9" w:rsidP="00FE075A">
            <w:pPr>
              <w:pStyle w:val="TableParagraph"/>
              <w:spacing w:before="104"/>
              <w:ind w:left="74" w:right="45"/>
              <w:rPr>
                <w:sz w:val="24"/>
                <w:szCs w:val="24"/>
                <w:lang w:val="es-MX"/>
              </w:rPr>
            </w:pPr>
            <w:r w:rsidRPr="00C7483B">
              <w:rPr>
                <w:sz w:val="24"/>
                <w:szCs w:val="24"/>
                <w:lang w:val="es-MX"/>
              </w:rPr>
              <w:t>El proceso para la distribución de los recursos del Ramo General 33, de la Federación a las entidades federativas, se establece en el “Acuerdo por el que se da a conocer a los Gobiernos de las Entidades Federativas la Distribución y Calendarización para la Ministración durante el Ejercicio Fiscal 2017, de los Recursos Correspondientes a los Ramos Generales 28 y 33 ; asimismo el estado de Puebla distribuye los recursos con base en el “Acuerdo</w:t>
            </w:r>
          </w:p>
        </w:tc>
      </w:tr>
    </w:tbl>
    <w:p w:rsidR="00BF4BD9" w:rsidRDefault="00BF4BD9" w:rsidP="00BF4BD9">
      <w:pPr>
        <w:ind w:right="-1085"/>
      </w:pPr>
    </w:p>
    <w:tbl>
      <w:tblPr>
        <w:tblStyle w:val="TableNormal1"/>
        <w:tblW w:w="10114" w:type="dxa"/>
        <w:tblInd w:w="1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114"/>
      </w:tblGrid>
      <w:tr w:rsidR="00BF4BD9" w:rsidRPr="00587462" w:rsidTr="00BF4BD9">
        <w:trPr>
          <w:trHeight w:val="3969"/>
        </w:trPr>
        <w:tc>
          <w:tcPr>
            <w:tcW w:w="10114" w:type="dxa"/>
          </w:tcPr>
          <w:p w:rsidR="00BF4BD9" w:rsidRPr="00C7483B" w:rsidRDefault="00BF4BD9" w:rsidP="00FE075A">
            <w:pPr>
              <w:pStyle w:val="TableParagraph"/>
              <w:spacing w:before="9"/>
              <w:ind w:left="74" w:right="106"/>
              <w:rPr>
                <w:sz w:val="24"/>
                <w:szCs w:val="24"/>
                <w:lang w:val="es-MX"/>
              </w:rPr>
            </w:pPr>
            <w:proofErr w:type="gramStart"/>
            <w:r w:rsidRPr="00C7483B">
              <w:rPr>
                <w:sz w:val="24"/>
                <w:szCs w:val="24"/>
                <w:lang w:val="es-MX"/>
              </w:rPr>
              <w:lastRenderedPageBreak/>
              <w:t>mediante</w:t>
            </w:r>
            <w:proofErr w:type="gramEnd"/>
            <w:r w:rsidRPr="00C7483B">
              <w:rPr>
                <w:sz w:val="24"/>
                <w:szCs w:val="24"/>
                <w:lang w:val="es-MX"/>
              </w:rPr>
              <w:t xml:space="preserve"> el cual se da a conocer las variables y fórmulas utilizadas para la distribución y asignación del monto correspondiente a cada municipio del Estado, así como el calendario de pagos de los recursos federales que integran el Ramo 33 del Presupuesto de Egresos de la Federación, en lo correspondiente al FORTAMUN para el ejercicio fiscal 2017 ”;</w:t>
            </w:r>
            <w:r w:rsidRPr="00587462">
              <w:rPr>
                <w:sz w:val="24"/>
                <w:szCs w:val="24"/>
              </w:rPr>
              <w:t>;</w:t>
            </w:r>
            <w:r w:rsidRPr="00C7483B">
              <w:rPr>
                <w:sz w:val="24"/>
                <w:szCs w:val="24"/>
                <w:lang w:val="es-MX"/>
              </w:rPr>
              <w:t xml:space="preserve"> por tanto, el proceso se realiza en tiempo y forma.</w:t>
            </w:r>
          </w:p>
          <w:p w:rsidR="00BF4BD9" w:rsidRPr="00C7483B" w:rsidRDefault="00BF4BD9" w:rsidP="00FE075A">
            <w:pPr>
              <w:pStyle w:val="TableParagraph"/>
              <w:spacing w:before="101"/>
              <w:ind w:left="74" w:right="52"/>
              <w:rPr>
                <w:sz w:val="24"/>
                <w:szCs w:val="24"/>
                <w:lang w:val="es-MX"/>
              </w:rPr>
            </w:pPr>
            <w:r w:rsidRPr="00C7483B">
              <w:rPr>
                <w:sz w:val="24"/>
                <w:szCs w:val="24"/>
                <w:lang w:val="es-MX"/>
              </w:rPr>
              <w:t>Con referencia a Matriz de Indicadores para Resultados (MIR) federal, el municipio dio seguimiento a dos indicadores de la Actividad y a al indicador del Fin, cuyas metas se cumplieron en su totalidad por encima del 100 por ciento</w:t>
            </w:r>
            <w:proofErr w:type="gramStart"/>
            <w:r w:rsidRPr="00C7483B">
              <w:rPr>
                <w:sz w:val="24"/>
                <w:szCs w:val="24"/>
                <w:lang w:val="es-MX"/>
              </w:rPr>
              <w:t>;</w:t>
            </w:r>
            <w:r w:rsidRPr="00587462">
              <w:rPr>
                <w:sz w:val="24"/>
                <w:szCs w:val="24"/>
              </w:rPr>
              <w:t>;</w:t>
            </w:r>
            <w:proofErr w:type="gramEnd"/>
            <w:r w:rsidRPr="00C7483B">
              <w:rPr>
                <w:sz w:val="24"/>
                <w:szCs w:val="24"/>
                <w:lang w:val="es-MX"/>
              </w:rPr>
              <w:t xml:space="preserve"> y en relación con el ejercicio de los recursos, se ejerció un total de $46,139,133.00 equivalente al 100.12% de los recursos aprobados.</w:t>
            </w:r>
          </w:p>
          <w:p w:rsidR="00BF4BD9" w:rsidRPr="00C7483B" w:rsidRDefault="00BF4BD9" w:rsidP="00FE075A">
            <w:pPr>
              <w:pStyle w:val="TableParagraph"/>
              <w:spacing w:before="98"/>
              <w:ind w:left="74"/>
              <w:rPr>
                <w:sz w:val="24"/>
                <w:szCs w:val="24"/>
                <w:lang w:val="es-MX"/>
              </w:rPr>
            </w:pPr>
            <w:r w:rsidRPr="00C7483B">
              <w:rPr>
                <w:sz w:val="24"/>
                <w:szCs w:val="24"/>
                <w:lang w:val="es-MX"/>
              </w:rPr>
              <w:t>Los recursos del Fondo fueron destinados para 32 proyectos, según el documento interno del municipio de Zacatlán Puebla, los cuales van desde pago a deuda, adquisiciones de terrenos equipo de transporte, mobiliario y equipo de oficina, y obras, ente otro.</w:t>
            </w:r>
          </w:p>
        </w:tc>
      </w:tr>
      <w:tr w:rsidR="00BF4BD9" w:rsidRPr="00587462" w:rsidTr="00BF4BD9">
        <w:trPr>
          <w:trHeight w:val="407"/>
        </w:trPr>
        <w:tc>
          <w:tcPr>
            <w:tcW w:w="10114" w:type="dxa"/>
          </w:tcPr>
          <w:p w:rsidR="00BF4BD9" w:rsidRPr="00C7483B" w:rsidRDefault="00BF4BD9" w:rsidP="00FE075A">
            <w:pPr>
              <w:pStyle w:val="TableParagraph"/>
              <w:spacing w:before="9"/>
              <w:ind w:left="74"/>
              <w:rPr>
                <w:sz w:val="24"/>
                <w:szCs w:val="24"/>
                <w:lang w:val="es-MX"/>
              </w:rPr>
            </w:pPr>
            <w:r w:rsidRPr="00C7483B">
              <w:rPr>
                <w:sz w:val="24"/>
                <w:szCs w:val="24"/>
                <w:lang w:val="es-MX"/>
              </w:rPr>
              <w:t>3.2 Describir las recomendaciones de acuerdo a su relevancia:</w:t>
            </w:r>
          </w:p>
        </w:tc>
      </w:tr>
      <w:tr w:rsidR="00BF4BD9" w:rsidRPr="00587462" w:rsidTr="00BF4BD9">
        <w:trPr>
          <w:trHeight w:val="661"/>
        </w:trPr>
        <w:tc>
          <w:tcPr>
            <w:tcW w:w="10114" w:type="dxa"/>
          </w:tcPr>
          <w:p w:rsidR="00BF4BD9" w:rsidRPr="00C7483B" w:rsidRDefault="00BF4BD9" w:rsidP="00FE075A">
            <w:pPr>
              <w:pStyle w:val="TableParagraph"/>
              <w:spacing w:before="9" w:line="249" w:lineRule="auto"/>
              <w:ind w:left="74"/>
              <w:rPr>
                <w:sz w:val="24"/>
                <w:szCs w:val="24"/>
                <w:lang w:val="es-MX"/>
              </w:rPr>
            </w:pPr>
            <w:r w:rsidRPr="00C7483B">
              <w:rPr>
                <w:w w:val="105"/>
                <w:sz w:val="24"/>
                <w:szCs w:val="24"/>
                <w:lang w:val="es-MX"/>
              </w:rPr>
              <w:t>1: Implementar un diagrama de flujo de asignación de obra en cada expediente donde se pueda identificar plenamente que se han seguido los procedimientos establecidos en el Manual de Organización y Procedimiento</w:t>
            </w:r>
          </w:p>
        </w:tc>
      </w:tr>
      <w:tr w:rsidR="00BF4BD9" w:rsidRPr="00587462" w:rsidTr="00BF4BD9">
        <w:trPr>
          <w:trHeight w:val="911"/>
        </w:trPr>
        <w:tc>
          <w:tcPr>
            <w:tcW w:w="10114" w:type="dxa"/>
          </w:tcPr>
          <w:p w:rsidR="00BF4BD9" w:rsidRPr="00C7483B" w:rsidRDefault="00BF4BD9" w:rsidP="00FE075A">
            <w:pPr>
              <w:pStyle w:val="TableParagraph"/>
              <w:spacing w:before="9" w:line="249" w:lineRule="auto"/>
              <w:ind w:left="74"/>
              <w:rPr>
                <w:sz w:val="24"/>
                <w:szCs w:val="24"/>
                <w:lang w:val="es-MX"/>
              </w:rPr>
            </w:pPr>
            <w:r w:rsidRPr="00C7483B">
              <w:rPr>
                <w:w w:val="105"/>
                <w:sz w:val="24"/>
                <w:szCs w:val="24"/>
                <w:lang w:val="es-MX"/>
              </w:rPr>
              <w:t>2: En el acta entrega recepción observamos que en algunos casos no se está llenando de manera completa la carga descriptiva de la obra, por lo que se recomienda incluir de forma completa este documento</w:t>
            </w:r>
          </w:p>
        </w:tc>
      </w:tr>
      <w:tr w:rsidR="00BF4BD9" w:rsidRPr="00587462" w:rsidTr="00BF4BD9">
        <w:trPr>
          <w:trHeight w:val="959"/>
        </w:trPr>
        <w:tc>
          <w:tcPr>
            <w:tcW w:w="10114" w:type="dxa"/>
          </w:tcPr>
          <w:p w:rsidR="00BF4BD9" w:rsidRPr="00C7483B" w:rsidRDefault="00BF4BD9" w:rsidP="00FE075A">
            <w:pPr>
              <w:pStyle w:val="TableParagraph"/>
              <w:spacing w:before="9"/>
              <w:ind w:left="74" w:right="546"/>
              <w:rPr>
                <w:sz w:val="24"/>
                <w:szCs w:val="24"/>
                <w:lang w:val="es-MX"/>
              </w:rPr>
            </w:pPr>
            <w:r w:rsidRPr="00C7483B">
              <w:rPr>
                <w:sz w:val="24"/>
                <w:szCs w:val="24"/>
                <w:lang w:val="es-MX"/>
              </w:rPr>
              <w:t xml:space="preserve">3: </w:t>
            </w:r>
            <w:r w:rsidRPr="00C7483B">
              <w:rPr>
                <w:w w:val="105"/>
                <w:sz w:val="24"/>
                <w:szCs w:val="24"/>
                <w:lang w:val="es-MX"/>
              </w:rPr>
              <w:t>Se sugiere que en los expedientes de los proyectos se coloque la evidencia fotográfica de la terminación de la obra</w:t>
            </w:r>
          </w:p>
        </w:tc>
      </w:tr>
      <w:tr w:rsidR="00BF4BD9" w:rsidRPr="00587462" w:rsidTr="00BF4BD9">
        <w:trPr>
          <w:trHeight w:val="959"/>
        </w:trPr>
        <w:tc>
          <w:tcPr>
            <w:tcW w:w="10114" w:type="dxa"/>
          </w:tcPr>
          <w:p w:rsidR="00BF4BD9" w:rsidRPr="00C7483B" w:rsidRDefault="00BF4BD9" w:rsidP="00FE075A">
            <w:pPr>
              <w:pStyle w:val="Textoindependiente"/>
              <w:rPr>
                <w:w w:val="105"/>
                <w:sz w:val="24"/>
                <w:szCs w:val="24"/>
                <w:lang w:val="es-MX"/>
              </w:rPr>
            </w:pPr>
            <w:r w:rsidRPr="00C7483B">
              <w:rPr>
                <w:w w:val="105"/>
                <w:sz w:val="24"/>
                <w:szCs w:val="24"/>
                <w:lang w:val="es-MX"/>
              </w:rPr>
              <w:t>4: Mantener el monitoreo de las necesidades del municipio en materia de seguridad del mismo modo, en caso de usar el Fondo en la coinversión con otros fondos o programas, es necesario justificar el impacto.</w:t>
            </w:r>
          </w:p>
          <w:p w:rsidR="00BF4BD9" w:rsidRPr="00C7483B" w:rsidRDefault="00BF4BD9" w:rsidP="00FE075A">
            <w:pPr>
              <w:pStyle w:val="TableParagraph"/>
              <w:spacing w:before="9"/>
              <w:ind w:left="74" w:right="546"/>
              <w:rPr>
                <w:w w:val="105"/>
                <w:sz w:val="24"/>
                <w:szCs w:val="24"/>
                <w:lang w:val="es-MX"/>
              </w:rPr>
            </w:pPr>
          </w:p>
        </w:tc>
      </w:tr>
      <w:tr w:rsidR="00BF4BD9" w:rsidRPr="00587462" w:rsidTr="00BF4BD9">
        <w:trPr>
          <w:trHeight w:val="959"/>
        </w:trPr>
        <w:tc>
          <w:tcPr>
            <w:tcW w:w="10114" w:type="dxa"/>
          </w:tcPr>
          <w:p w:rsidR="00BF4BD9" w:rsidRPr="00C7483B" w:rsidRDefault="00BF4BD9" w:rsidP="00FE075A">
            <w:pPr>
              <w:pStyle w:val="Textoindependiente"/>
              <w:rPr>
                <w:sz w:val="24"/>
                <w:szCs w:val="24"/>
                <w:lang w:val="es-MX"/>
              </w:rPr>
            </w:pPr>
            <w:r w:rsidRPr="00C7483B">
              <w:rPr>
                <w:sz w:val="24"/>
                <w:szCs w:val="24"/>
                <w:lang w:val="es-MX"/>
              </w:rPr>
              <w:t>5: Efectuar una  comparación  de la población beneficiaria y la no beneficiaria con el fin de determinar variables para su comprensión</w:t>
            </w:r>
          </w:p>
        </w:tc>
      </w:tr>
    </w:tbl>
    <w:p w:rsidR="00BF4BD9" w:rsidRDefault="00BF4BD9" w:rsidP="00BF4BD9">
      <w:pPr>
        <w:ind w:right="-1085"/>
      </w:pPr>
    </w:p>
    <w:tbl>
      <w:tblPr>
        <w:tblStyle w:val="TableNormal1"/>
        <w:tblW w:w="10117" w:type="dxa"/>
        <w:tblInd w:w="1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04"/>
        <w:gridCol w:w="5513"/>
      </w:tblGrid>
      <w:tr w:rsidR="00BF4BD9" w:rsidRPr="00587462" w:rsidTr="00BF4BD9">
        <w:trPr>
          <w:trHeight w:val="455"/>
        </w:trPr>
        <w:tc>
          <w:tcPr>
            <w:tcW w:w="10114" w:type="dxa"/>
            <w:gridSpan w:val="2"/>
            <w:shd w:val="clear" w:color="auto" w:fill="00AFEF"/>
          </w:tcPr>
          <w:p w:rsidR="00BF4BD9" w:rsidRPr="00C7483B" w:rsidRDefault="00BF4BD9" w:rsidP="00FE075A">
            <w:pPr>
              <w:pStyle w:val="TableParagraph"/>
              <w:spacing w:before="20"/>
              <w:ind w:left="2692"/>
              <w:rPr>
                <w:b/>
                <w:sz w:val="24"/>
                <w:szCs w:val="24"/>
                <w:lang w:val="es-MX"/>
              </w:rPr>
            </w:pPr>
            <w:r w:rsidRPr="00C7483B">
              <w:rPr>
                <w:b/>
                <w:color w:val="FFFFFF"/>
                <w:sz w:val="24"/>
                <w:szCs w:val="24"/>
                <w:lang w:val="es-MX"/>
              </w:rPr>
              <w:t>4. DATOS DE LA INSTANCIA EVALUADORA</w:t>
            </w:r>
          </w:p>
        </w:tc>
      </w:tr>
      <w:tr w:rsidR="00BF4BD9" w:rsidRPr="00587462" w:rsidTr="00BF4BD9">
        <w:trPr>
          <w:trHeight w:val="407"/>
        </w:trPr>
        <w:tc>
          <w:tcPr>
            <w:tcW w:w="10114" w:type="dxa"/>
            <w:gridSpan w:val="2"/>
          </w:tcPr>
          <w:p w:rsidR="00BF4BD9" w:rsidRPr="00C7483B" w:rsidRDefault="00BF4BD9" w:rsidP="00FE075A">
            <w:pPr>
              <w:pStyle w:val="TableParagraph"/>
              <w:spacing w:before="9"/>
              <w:ind w:left="74"/>
              <w:rPr>
                <w:sz w:val="24"/>
                <w:szCs w:val="24"/>
                <w:lang w:val="es-MX"/>
              </w:rPr>
            </w:pPr>
            <w:r w:rsidRPr="00C7483B">
              <w:rPr>
                <w:sz w:val="24"/>
                <w:szCs w:val="24"/>
                <w:lang w:val="es-MX"/>
              </w:rPr>
              <w:t>4.1 Nombre del coordinador de la evaluación: Luis Miguel Jiménez Gudiño</w:t>
            </w:r>
          </w:p>
        </w:tc>
      </w:tr>
      <w:tr w:rsidR="00BF4BD9" w:rsidRPr="00587462" w:rsidTr="00BF4BD9">
        <w:trPr>
          <w:trHeight w:val="407"/>
        </w:trPr>
        <w:tc>
          <w:tcPr>
            <w:tcW w:w="10114" w:type="dxa"/>
            <w:gridSpan w:val="2"/>
          </w:tcPr>
          <w:p w:rsidR="00BF4BD9" w:rsidRPr="00587462" w:rsidRDefault="00BF4BD9" w:rsidP="00FE075A">
            <w:pPr>
              <w:pStyle w:val="TableParagraph"/>
              <w:spacing w:before="9"/>
              <w:ind w:left="74"/>
              <w:rPr>
                <w:sz w:val="24"/>
                <w:szCs w:val="24"/>
              </w:rPr>
            </w:pPr>
            <w:r w:rsidRPr="00587462">
              <w:rPr>
                <w:sz w:val="24"/>
                <w:szCs w:val="24"/>
              </w:rPr>
              <w:t>4.2 Cargo: Director General</w:t>
            </w:r>
          </w:p>
        </w:tc>
      </w:tr>
      <w:tr w:rsidR="00BF4BD9" w:rsidRPr="00587462" w:rsidTr="00BF4BD9">
        <w:trPr>
          <w:trHeight w:val="407"/>
        </w:trPr>
        <w:tc>
          <w:tcPr>
            <w:tcW w:w="10114" w:type="dxa"/>
            <w:gridSpan w:val="2"/>
          </w:tcPr>
          <w:p w:rsidR="00BF4BD9" w:rsidRPr="00C7483B" w:rsidRDefault="00BF4BD9" w:rsidP="00FE075A">
            <w:pPr>
              <w:pStyle w:val="TableParagraph"/>
              <w:spacing w:before="9"/>
              <w:ind w:left="74"/>
              <w:rPr>
                <w:sz w:val="24"/>
                <w:szCs w:val="24"/>
                <w:lang w:val="es-MX"/>
              </w:rPr>
            </w:pPr>
            <w:r w:rsidRPr="00C7483B">
              <w:rPr>
                <w:sz w:val="24"/>
                <w:szCs w:val="24"/>
                <w:lang w:val="es-MX"/>
              </w:rPr>
              <w:t>4.3 Institución a la que pertenece: JP Asesores fiscales y Contadores, S.C.</w:t>
            </w:r>
          </w:p>
        </w:tc>
      </w:tr>
      <w:tr w:rsidR="00BF4BD9" w:rsidRPr="00587462" w:rsidTr="00BF4BD9">
        <w:trPr>
          <w:trHeight w:val="407"/>
        </w:trPr>
        <w:tc>
          <w:tcPr>
            <w:tcW w:w="10114" w:type="dxa"/>
            <w:gridSpan w:val="2"/>
          </w:tcPr>
          <w:p w:rsidR="00BF4BD9" w:rsidRPr="00587462" w:rsidRDefault="00BF4BD9" w:rsidP="00FE075A">
            <w:pPr>
              <w:pStyle w:val="TableParagraph"/>
              <w:spacing w:before="9"/>
              <w:ind w:left="74"/>
              <w:rPr>
                <w:sz w:val="24"/>
                <w:szCs w:val="24"/>
              </w:rPr>
            </w:pPr>
            <w:r w:rsidRPr="00C7483B">
              <w:rPr>
                <w:sz w:val="24"/>
                <w:szCs w:val="24"/>
                <w:lang w:val="es-MX"/>
              </w:rPr>
              <w:t xml:space="preserve">4.4 Principales colaboradores: C.P. Daniel Peña Cabrera, C. Ramón </w:t>
            </w:r>
            <w:proofErr w:type="spellStart"/>
            <w:r w:rsidRPr="00C7483B">
              <w:rPr>
                <w:sz w:val="24"/>
                <w:szCs w:val="24"/>
                <w:lang w:val="es-MX"/>
              </w:rPr>
              <w:t>Olger</w:t>
            </w:r>
            <w:proofErr w:type="spellEnd"/>
            <w:r w:rsidRPr="00C7483B">
              <w:rPr>
                <w:sz w:val="24"/>
                <w:szCs w:val="24"/>
                <w:lang w:val="es-MX"/>
              </w:rPr>
              <w:t xml:space="preserve"> López Armengol, Mtro. </w:t>
            </w:r>
            <w:r w:rsidRPr="00587462">
              <w:rPr>
                <w:sz w:val="24"/>
                <w:szCs w:val="24"/>
              </w:rPr>
              <w:t>Eduardo Torres de los Santos</w:t>
            </w:r>
          </w:p>
        </w:tc>
      </w:tr>
      <w:tr w:rsidR="00BF4BD9" w:rsidRPr="00587462" w:rsidTr="00BF4BD9">
        <w:trPr>
          <w:trHeight w:val="407"/>
        </w:trPr>
        <w:tc>
          <w:tcPr>
            <w:tcW w:w="10114" w:type="dxa"/>
            <w:gridSpan w:val="2"/>
          </w:tcPr>
          <w:p w:rsidR="00BF4BD9" w:rsidRPr="00C7483B" w:rsidRDefault="00BF4BD9" w:rsidP="00FE075A">
            <w:pPr>
              <w:pStyle w:val="TableParagraph"/>
              <w:spacing w:before="9"/>
              <w:ind w:left="74"/>
              <w:rPr>
                <w:sz w:val="24"/>
                <w:szCs w:val="24"/>
                <w:lang w:val="es-MX"/>
              </w:rPr>
            </w:pPr>
            <w:r w:rsidRPr="00C7483B">
              <w:rPr>
                <w:sz w:val="24"/>
                <w:szCs w:val="24"/>
                <w:lang w:val="es-MX"/>
              </w:rPr>
              <w:t>4.5 Correo electrónico del coordinador de la evaluación: lmjimenez@jpconsultores.mx</w:t>
            </w:r>
          </w:p>
        </w:tc>
      </w:tr>
      <w:tr w:rsidR="00BF4BD9" w:rsidRPr="00587462" w:rsidTr="00BF4BD9">
        <w:trPr>
          <w:trHeight w:val="407"/>
        </w:trPr>
        <w:tc>
          <w:tcPr>
            <w:tcW w:w="10114" w:type="dxa"/>
            <w:gridSpan w:val="2"/>
          </w:tcPr>
          <w:p w:rsidR="00BF4BD9" w:rsidRPr="00587462" w:rsidRDefault="00BF4BD9" w:rsidP="00FE075A">
            <w:pPr>
              <w:pStyle w:val="TableParagraph"/>
              <w:spacing w:before="9"/>
              <w:ind w:left="74"/>
              <w:rPr>
                <w:sz w:val="24"/>
                <w:szCs w:val="24"/>
              </w:rPr>
            </w:pPr>
            <w:r w:rsidRPr="00587462">
              <w:rPr>
                <w:sz w:val="24"/>
                <w:szCs w:val="24"/>
              </w:rPr>
              <w:t xml:space="preserve">4.6 </w:t>
            </w:r>
            <w:proofErr w:type="spellStart"/>
            <w:r w:rsidRPr="00587462">
              <w:rPr>
                <w:sz w:val="24"/>
                <w:szCs w:val="24"/>
              </w:rPr>
              <w:t>Teléfono</w:t>
            </w:r>
            <w:proofErr w:type="spellEnd"/>
            <w:r w:rsidRPr="00587462">
              <w:rPr>
                <w:sz w:val="24"/>
                <w:szCs w:val="24"/>
              </w:rPr>
              <w:t xml:space="preserve"> (con clave </w:t>
            </w:r>
            <w:proofErr w:type="spellStart"/>
            <w:r w:rsidRPr="00587462">
              <w:rPr>
                <w:sz w:val="24"/>
                <w:szCs w:val="24"/>
              </w:rPr>
              <w:t>lada</w:t>
            </w:r>
            <w:proofErr w:type="spellEnd"/>
            <w:r w:rsidRPr="00587462">
              <w:rPr>
                <w:sz w:val="24"/>
                <w:szCs w:val="24"/>
              </w:rPr>
              <w:t>): +52 (222) 130 91 82 / 130 91 83</w:t>
            </w:r>
          </w:p>
        </w:tc>
      </w:tr>
      <w:tr w:rsidR="00BF4BD9" w:rsidRPr="00587462" w:rsidTr="00BF4BD9">
        <w:trPr>
          <w:trHeight w:val="450"/>
        </w:trPr>
        <w:tc>
          <w:tcPr>
            <w:tcW w:w="10114" w:type="dxa"/>
            <w:gridSpan w:val="2"/>
            <w:shd w:val="clear" w:color="auto" w:fill="00AFEF"/>
          </w:tcPr>
          <w:p w:rsidR="00BF4BD9" w:rsidRPr="00C7483B" w:rsidRDefault="00BF4BD9" w:rsidP="00FE075A">
            <w:pPr>
              <w:pStyle w:val="TableParagraph"/>
              <w:spacing w:before="15"/>
              <w:ind w:left="2493"/>
              <w:rPr>
                <w:b/>
                <w:sz w:val="24"/>
                <w:szCs w:val="24"/>
                <w:lang w:val="es-MX"/>
              </w:rPr>
            </w:pPr>
            <w:r w:rsidRPr="00C7483B">
              <w:rPr>
                <w:b/>
                <w:color w:val="FFFFFF"/>
                <w:sz w:val="24"/>
                <w:szCs w:val="24"/>
                <w:lang w:val="es-MX"/>
              </w:rPr>
              <w:t>5. IDENTIFICACIÓN DEL (LOS) PROGRAMA(S)</w:t>
            </w:r>
          </w:p>
        </w:tc>
      </w:tr>
      <w:tr w:rsidR="00BF4BD9" w:rsidRPr="00587462" w:rsidTr="00BF4BD9">
        <w:trPr>
          <w:trHeight w:val="685"/>
        </w:trPr>
        <w:tc>
          <w:tcPr>
            <w:tcW w:w="10114" w:type="dxa"/>
            <w:gridSpan w:val="2"/>
          </w:tcPr>
          <w:p w:rsidR="00BF4BD9" w:rsidRPr="00C7483B" w:rsidRDefault="00BF4BD9" w:rsidP="00FE075A">
            <w:pPr>
              <w:pStyle w:val="TableParagraph"/>
              <w:spacing w:before="17" w:line="237" w:lineRule="auto"/>
              <w:ind w:left="74" w:right="1693"/>
              <w:rPr>
                <w:sz w:val="24"/>
                <w:szCs w:val="24"/>
                <w:lang w:val="es-MX"/>
              </w:rPr>
            </w:pPr>
            <w:r w:rsidRPr="00C7483B">
              <w:rPr>
                <w:sz w:val="24"/>
                <w:szCs w:val="24"/>
                <w:lang w:val="es-MX"/>
              </w:rPr>
              <w:t>5.1 Nombre del (los) Programa(s) evaluado(s): Fondo de Aportaciones para el Fortalecimiento Municipal</w:t>
            </w:r>
          </w:p>
        </w:tc>
      </w:tr>
      <w:tr w:rsidR="00BF4BD9" w:rsidRPr="00587462" w:rsidTr="00BF4BD9">
        <w:trPr>
          <w:trHeight w:val="407"/>
        </w:trPr>
        <w:tc>
          <w:tcPr>
            <w:tcW w:w="10114" w:type="dxa"/>
            <w:gridSpan w:val="2"/>
          </w:tcPr>
          <w:p w:rsidR="00BF4BD9" w:rsidRPr="00587462" w:rsidRDefault="00BF4BD9" w:rsidP="00FE075A">
            <w:pPr>
              <w:pStyle w:val="TableParagraph"/>
              <w:spacing w:before="9"/>
              <w:ind w:left="74"/>
              <w:rPr>
                <w:sz w:val="24"/>
                <w:szCs w:val="24"/>
              </w:rPr>
            </w:pPr>
            <w:r w:rsidRPr="00587462">
              <w:rPr>
                <w:sz w:val="24"/>
                <w:szCs w:val="24"/>
              </w:rPr>
              <w:t xml:space="preserve">5.2 </w:t>
            </w:r>
            <w:proofErr w:type="spellStart"/>
            <w:r w:rsidRPr="00587462">
              <w:rPr>
                <w:sz w:val="24"/>
                <w:szCs w:val="24"/>
              </w:rPr>
              <w:t>Siglas</w:t>
            </w:r>
            <w:proofErr w:type="spellEnd"/>
            <w:r w:rsidRPr="00587462">
              <w:rPr>
                <w:sz w:val="24"/>
                <w:szCs w:val="24"/>
              </w:rPr>
              <w:t>: FORTAMUN.DF</w:t>
            </w:r>
          </w:p>
        </w:tc>
      </w:tr>
      <w:tr w:rsidR="00BF4BD9" w:rsidRPr="00587462" w:rsidTr="00BF4BD9">
        <w:trPr>
          <w:trHeight w:val="407"/>
        </w:trPr>
        <w:tc>
          <w:tcPr>
            <w:tcW w:w="10114" w:type="dxa"/>
            <w:gridSpan w:val="2"/>
          </w:tcPr>
          <w:p w:rsidR="00BF4BD9" w:rsidRPr="00C7483B" w:rsidRDefault="00BF4BD9" w:rsidP="00FE075A">
            <w:pPr>
              <w:pStyle w:val="TableParagraph"/>
              <w:spacing w:before="9"/>
              <w:ind w:left="74"/>
              <w:rPr>
                <w:sz w:val="24"/>
                <w:szCs w:val="24"/>
                <w:lang w:val="es-MX"/>
              </w:rPr>
            </w:pPr>
            <w:r w:rsidRPr="00C7483B">
              <w:rPr>
                <w:sz w:val="24"/>
                <w:szCs w:val="24"/>
                <w:lang w:val="es-MX"/>
              </w:rPr>
              <w:t>5.3 Ente público coordinador del (los) Programa(s): Coordinación de Evaluación y Planeación</w:t>
            </w:r>
          </w:p>
        </w:tc>
      </w:tr>
      <w:tr w:rsidR="00BF4BD9" w:rsidRPr="00587462" w:rsidTr="00BF4BD9">
        <w:trPr>
          <w:trHeight w:val="407"/>
        </w:trPr>
        <w:tc>
          <w:tcPr>
            <w:tcW w:w="10114" w:type="dxa"/>
            <w:gridSpan w:val="2"/>
            <w:shd w:val="clear" w:color="auto" w:fill="auto"/>
          </w:tcPr>
          <w:p w:rsidR="00BF4BD9" w:rsidRPr="00C7483B" w:rsidRDefault="00BF4BD9" w:rsidP="00FE075A">
            <w:pPr>
              <w:pStyle w:val="TableParagraph"/>
              <w:spacing w:before="9"/>
              <w:ind w:left="74"/>
              <w:rPr>
                <w:sz w:val="24"/>
                <w:szCs w:val="24"/>
                <w:lang w:val="es-MX"/>
              </w:rPr>
            </w:pPr>
            <w:r w:rsidRPr="00C7483B">
              <w:rPr>
                <w:sz w:val="24"/>
                <w:szCs w:val="24"/>
                <w:lang w:val="es-MX"/>
              </w:rPr>
              <w:t>5.4 Poder público al que pertenece(n) el(los) Programa(s):</w:t>
            </w:r>
          </w:p>
        </w:tc>
      </w:tr>
      <w:tr w:rsidR="00BF4BD9" w:rsidRPr="00587462" w:rsidTr="00BF4BD9">
        <w:trPr>
          <w:trHeight w:val="407"/>
        </w:trPr>
        <w:tc>
          <w:tcPr>
            <w:tcW w:w="10114" w:type="dxa"/>
            <w:gridSpan w:val="2"/>
          </w:tcPr>
          <w:p w:rsidR="00BF4BD9" w:rsidRPr="00C7483B" w:rsidRDefault="00BF4BD9" w:rsidP="00FE075A">
            <w:pPr>
              <w:pStyle w:val="TableParagraph"/>
              <w:tabs>
                <w:tab w:val="left" w:pos="2021"/>
                <w:tab w:val="left" w:pos="4622"/>
                <w:tab w:val="left" w:pos="6597"/>
                <w:tab w:val="left" w:pos="8719"/>
              </w:tabs>
              <w:spacing w:before="9"/>
              <w:ind w:left="74"/>
              <w:rPr>
                <w:sz w:val="24"/>
                <w:szCs w:val="24"/>
                <w:lang w:val="es-MX"/>
              </w:rPr>
            </w:pPr>
            <w:r w:rsidRPr="00C7483B">
              <w:rPr>
                <w:sz w:val="24"/>
                <w:szCs w:val="24"/>
                <w:lang w:val="es-MX"/>
              </w:rPr>
              <w:t>Poder Ejecutivo</w:t>
            </w:r>
            <w:r w:rsidRPr="00C7483B">
              <w:rPr>
                <w:sz w:val="24"/>
                <w:szCs w:val="24"/>
                <w:u w:val="single"/>
                <w:lang w:val="es-MX"/>
              </w:rPr>
              <w:t xml:space="preserve"> </w:t>
            </w:r>
            <w:r w:rsidRPr="00C7483B">
              <w:rPr>
                <w:sz w:val="24"/>
                <w:szCs w:val="24"/>
                <w:u w:val="single"/>
                <w:lang w:val="es-MX"/>
              </w:rPr>
              <w:tab/>
            </w:r>
            <w:r w:rsidRPr="00C7483B">
              <w:rPr>
                <w:sz w:val="24"/>
                <w:szCs w:val="24"/>
                <w:lang w:val="es-MX"/>
              </w:rPr>
              <w:t>X_</w:t>
            </w:r>
            <w:r w:rsidRPr="00C7483B">
              <w:rPr>
                <w:spacing w:val="-1"/>
                <w:sz w:val="24"/>
                <w:szCs w:val="24"/>
                <w:lang w:val="es-MX"/>
              </w:rPr>
              <w:t xml:space="preserve"> </w:t>
            </w:r>
            <w:r w:rsidRPr="00C7483B">
              <w:rPr>
                <w:sz w:val="24"/>
                <w:szCs w:val="24"/>
                <w:lang w:val="es-MX"/>
              </w:rPr>
              <w:t>Poder</w:t>
            </w:r>
            <w:r w:rsidRPr="00C7483B">
              <w:rPr>
                <w:spacing w:val="-1"/>
                <w:sz w:val="24"/>
                <w:szCs w:val="24"/>
                <w:lang w:val="es-MX"/>
              </w:rPr>
              <w:t xml:space="preserve"> </w:t>
            </w:r>
            <w:r w:rsidRPr="00C7483B">
              <w:rPr>
                <w:sz w:val="24"/>
                <w:szCs w:val="24"/>
                <w:lang w:val="es-MX"/>
              </w:rPr>
              <w:t>Legislativo</w:t>
            </w:r>
            <w:r w:rsidRPr="00C7483B">
              <w:rPr>
                <w:sz w:val="24"/>
                <w:szCs w:val="24"/>
                <w:u w:val="single"/>
                <w:lang w:val="es-MX"/>
              </w:rPr>
              <w:tab/>
            </w:r>
            <w:r w:rsidRPr="00C7483B">
              <w:rPr>
                <w:sz w:val="24"/>
                <w:szCs w:val="24"/>
                <w:lang w:val="es-MX"/>
              </w:rPr>
              <w:t>Poder</w:t>
            </w:r>
            <w:r w:rsidRPr="00C7483B">
              <w:rPr>
                <w:spacing w:val="-1"/>
                <w:sz w:val="24"/>
                <w:szCs w:val="24"/>
                <w:lang w:val="es-MX"/>
              </w:rPr>
              <w:t xml:space="preserve"> </w:t>
            </w:r>
            <w:r w:rsidRPr="00C7483B">
              <w:rPr>
                <w:sz w:val="24"/>
                <w:szCs w:val="24"/>
                <w:lang w:val="es-MX"/>
              </w:rPr>
              <w:t>Judicial</w:t>
            </w:r>
            <w:r w:rsidRPr="00C7483B">
              <w:rPr>
                <w:sz w:val="24"/>
                <w:szCs w:val="24"/>
                <w:u w:val="single"/>
                <w:lang w:val="es-MX"/>
              </w:rPr>
              <w:tab/>
            </w:r>
            <w:r w:rsidRPr="00C7483B">
              <w:rPr>
                <w:sz w:val="24"/>
                <w:szCs w:val="24"/>
                <w:lang w:val="es-MX"/>
              </w:rPr>
              <w:t>Ente</w:t>
            </w:r>
            <w:r w:rsidRPr="00C7483B">
              <w:rPr>
                <w:spacing w:val="-1"/>
                <w:sz w:val="24"/>
                <w:szCs w:val="24"/>
                <w:lang w:val="es-MX"/>
              </w:rPr>
              <w:t xml:space="preserve"> </w:t>
            </w:r>
            <w:r w:rsidRPr="00C7483B">
              <w:rPr>
                <w:sz w:val="24"/>
                <w:szCs w:val="24"/>
                <w:lang w:val="es-MX"/>
              </w:rPr>
              <w:t>Autónomo</w:t>
            </w:r>
            <w:r w:rsidRPr="00C7483B">
              <w:rPr>
                <w:sz w:val="24"/>
                <w:szCs w:val="24"/>
                <w:u w:val="single"/>
                <w:lang w:val="es-MX"/>
              </w:rPr>
              <w:t xml:space="preserve"> </w:t>
            </w:r>
            <w:r w:rsidRPr="00C7483B">
              <w:rPr>
                <w:sz w:val="24"/>
                <w:szCs w:val="24"/>
                <w:u w:val="single"/>
                <w:lang w:val="es-MX"/>
              </w:rPr>
              <w:tab/>
            </w:r>
          </w:p>
        </w:tc>
      </w:tr>
      <w:tr w:rsidR="00BF4BD9" w:rsidRPr="00587462" w:rsidTr="00BF4BD9">
        <w:trPr>
          <w:trHeight w:val="402"/>
        </w:trPr>
        <w:tc>
          <w:tcPr>
            <w:tcW w:w="10114" w:type="dxa"/>
            <w:gridSpan w:val="2"/>
          </w:tcPr>
          <w:p w:rsidR="00BF4BD9" w:rsidRPr="00C7483B" w:rsidRDefault="00BF4BD9" w:rsidP="00FE075A">
            <w:pPr>
              <w:pStyle w:val="TableParagraph"/>
              <w:spacing w:before="9"/>
              <w:ind w:left="74"/>
              <w:rPr>
                <w:sz w:val="24"/>
                <w:szCs w:val="24"/>
                <w:lang w:val="es-MX"/>
              </w:rPr>
            </w:pPr>
            <w:r w:rsidRPr="00C7483B">
              <w:rPr>
                <w:sz w:val="24"/>
                <w:szCs w:val="24"/>
                <w:lang w:val="es-MX"/>
              </w:rPr>
              <w:t>5.5 Ámbito gubernamental al que pertenece(n) el(los) Programa(s):</w:t>
            </w:r>
          </w:p>
        </w:tc>
      </w:tr>
      <w:tr w:rsidR="00BF4BD9" w:rsidRPr="00587462" w:rsidTr="00BF4BD9">
        <w:trPr>
          <w:trHeight w:val="407"/>
        </w:trPr>
        <w:tc>
          <w:tcPr>
            <w:tcW w:w="10114" w:type="dxa"/>
            <w:gridSpan w:val="2"/>
          </w:tcPr>
          <w:p w:rsidR="00BF4BD9" w:rsidRPr="00587462" w:rsidRDefault="00BF4BD9" w:rsidP="00FE075A">
            <w:pPr>
              <w:pStyle w:val="TableParagraph"/>
              <w:tabs>
                <w:tab w:val="left" w:pos="1288"/>
                <w:tab w:val="left" w:pos="2489"/>
                <w:tab w:val="left" w:pos="3397"/>
              </w:tabs>
              <w:spacing w:before="14"/>
              <w:ind w:left="74"/>
              <w:rPr>
                <w:sz w:val="24"/>
                <w:szCs w:val="24"/>
              </w:rPr>
            </w:pPr>
            <w:r w:rsidRPr="00587462">
              <w:rPr>
                <w:sz w:val="24"/>
                <w:szCs w:val="24"/>
              </w:rPr>
              <w:t>Federal</w:t>
            </w:r>
            <w:r w:rsidRPr="00587462">
              <w:rPr>
                <w:sz w:val="24"/>
                <w:szCs w:val="24"/>
                <w:u w:val="single"/>
              </w:rPr>
              <w:tab/>
            </w:r>
            <w:proofErr w:type="spellStart"/>
            <w:r w:rsidRPr="00587462">
              <w:rPr>
                <w:sz w:val="24"/>
                <w:szCs w:val="24"/>
              </w:rPr>
              <w:t>Estatal</w:t>
            </w:r>
            <w:proofErr w:type="spellEnd"/>
            <w:r w:rsidRPr="00587462">
              <w:rPr>
                <w:sz w:val="24"/>
                <w:szCs w:val="24"/>
                <w:u w:val="single"/>
              </w:rPr>
              <w:tab/>
            </w:r>
            <w:r w:rsidRPr="00587462">
              <w:rPr>
                <w:sz w:val="24"/>
                <w:szCs w:val="24"/>
              </w:rPr>
              <w:t>Local</w:t>
            </w:r>
            <w:r w:rsidRPr="00587462">
              <w:rPr>
                <w:sz w:val="24"/>
                <w:szCs w:val="24"/>
                <w:u w:val="single"/>
              </w:rPr>
              <w:t xml:space="preserve"> </w:t>
            </w:r>
            <w:r w:rsidRPr="00587462">
              <w:rPr>
                <w:sz w:val="24"/>
                <w:szCs w:val="24"/>
                <w:u w:val="single"/>
              </w:rPr>
              <w:tab/>
            </w:r>
            <w:r w:rsidRPr="00587462">
              <w:rPr>
                <w:sz w:val="24"/>
                <w:szCs w:val="24"/>
              </w:rPr>
              <w:t>X_</w:t>
            </w:r>
          </w:p>
        </w:tc>
      </w:tr>
      <w:tr w:rsidR="00BF4BD9" w:rsidRPr="00587462" w:rsidTr="00BF4BD9">
        <w:trPr>
          <w:trHeight w:val="685"/>
        </w:trPr>
        <w:tc>
          <w:tcPr>
            <w:tcW w:w="10114" w:type="dxa"/>
            <w:gridSpan w:val="2"/>
          </w:tcPr>
          <w:p w:rsidR="00BF4BD9" w:rsidRPr="00C7483B" w:rsidRDefault="00BF4BD9" w:rsidP="00FE075A">
            <w:pPr>
              <w:pStyle w:val="TableParagraph"/>
              <w:spacing w:before="17" w:line="237" w:lineRule="auto"/>
              <w:ind w:left="74" w:right="947"/>
              <w:rPr>
                <w:sz w:val="24"/>
                <w:szCs w:val="24"/>
                <w:lang w:val="es-MX"/>
              </w:rPr>
            </w:pPr>
            <w:r w:rsidRPr="00C7483B">
              <w:rPr>
                <w:sz w:val="24"/>
                <w:szCs w:val="24"/>
                <w:lang w:val="es-MX"/>
              </w:rPr>
              <w:t>5.6 Nombre de la(s) unidad(es) administrativa(s) y de (los) titular(es) a cargo del (los) Programa(s):</w:t>
            </w:r>
          </w:p>
        </w:tc>
      </w:tr>
      <w:tr w:rsidR="00BF4BD9" w:rsidRPr="00587462" w:rsidTr="00BF4BD9">
        <w:trPr>
          <w:trHeight w:val="407"/>
        </w:trPr>
        <w:tc>
          <w:tcPr>
            <w:tcW w:w="10114" w:type="dxa"/>
            <w:gridSpan w:val="2"/>
          </w:tcPr>
          <w:p w:rsidR="00BF4BD9" w:rsidRPr="00C7483B" w:rsidRDefault="00BF4BD9" w:rsidP="00FE075A">
            <w:pPr>
              <w:pStyle w:val="TableParagraph"/>
              <w:spacing w:before="9"/>
              <w:ind w:left="74"/>
              <w:rPr>
                <w:sz w:val="24"/>
                <w:szCs w:val="24"/>
                <w:lang w:val="es-MX"/>
              </w:rPr>
            </w:pPr>
            <w:r w:rsidRPr="00C7483B">
              <w:rPr>
                <w:sz w:val="24"/>
                <w:szCs w:val="24"/>
                <w:lang w:val="es-MX"/>
              </w:rPr>
              <w:t>5.6.1 Nombre(s) de la(s) unidad(es) administrativa(s) a cargo de (los) Programa(s):</w:t>
            </w:r>
          </w:p>
        </w:tc>
      </w:tr>
      <w:tr w:rsidR="00BF4BD9" w:rsidRPr="00587462" w:rsidTr="00BF4BD9">
        <w:trPr>
          <w:trHeight w:val="407"/>
        </w:trPr>
        <w:tc>
          <w:tcPr>
            <w:tcW w:w="10114" w:type="dxa"/>
            <w:gridSpan w:val="2"/>
          </w:tcPr>
          <w:p w:rsidR="00BF4BD9" w:rsidRPr="00C7483B" w:rsidRDefault="00BF4BD9" w:rsidP="00FE075A">
            <w:pPr>
              <w:pStyle w:val="TableParagraph"/>
              <w:spacing w:before="38"/>
              <w:ind w:left="140"/>
              <w:rPr>
                <w:sz w:val="24"/>
                <w:szCs w:val="24"/>
                <w:lang w:val="es-MX"/>
              </w:rPr>
            </w:pPr>
            <w:r w:rsidRPr="00C7483B">
              <w:rPr>
                <w:w w:val="105"/>
                <w:sz w:val="24"/>
                <w:szCs w:val="24"/>
                <w:lang w:val="es-MX"/>
              </w:rPr>
              <w:t>Dirección de Planeación e Inversión</w:t>
            </w:r>
          </w:p>
        </w:tc>
      </w:tr>
      <w:tr w:rsidR="00BF4BD9" w:rsidRPr="00587462" w:rsidTr="00BF4BD9">
        <w:trPr>
          <w:trHeight w:val="681"/>
        </w:trPr>
        <w:tc>
          <w:tcPr>
            <w:tcW w:w="10114" w:type="dxa"/>
            <w:gridSpan w:val="2"/>
          </w:tcPr>
          <w:p w:rsidR="00BF4BD9" w:rsidRPr="00C7483B" w:rsidRDefault="00BF4BD9" w:rsidP="00FE075A">
            <w:pPr>
              <w:pStyle w:val="TableParagraph"/>
              <w:spacing w:before="12" w:line="237" w:lineRule="auto"/>
              <w:ind w:left="74" w:right="707"/>
              <w:rPr>
                <w:sz w:val="24"/>
                <w:szCs w:val="24"/>
                <w:lang w:val="es-MX"/>
              </w:rPr>
            </w:pPr>
            <w:r w:rsidRPr="00C7483B">
              <w:rPr>
                <w:sz w:val="24"/>
                <w:szCs w:val="24"/>
                <w:lang w:val="es-MX"/>
              </w:rPr>
              <w:t>5.6.2 Nombre(s) de (los) titular(es) de la(s) unidad(es) administrativa(s) a cargo de (los) Programa(s) (nombre completo, correo electrónico y teléfono con clave lada):</w:t>
            </w:r>
          </w:p>
        </w:tc>
      </w:tr>
      <w:tr w:rsidR="00BF4BD9" w:rsidRPr="00587462" w:rsidTr="00BF4BD9">
        <w:trPr>
          <w:trHeight w:val="762"/>
        </w:trPr>
        <w:tc>
          <w:tcPr>
            <w:tcW w:w="10114" w:type="dxa"/>
            <w:gridSpan w:val="2"/>
          </w:tcPr>
          <w:p w:rsidR="00BF4BD9" w:rsidRPr="00C7483B" w:rsidRDefault="00BF4BD9" w:rsidP="00FE075A">
            <w:pPr>
              <w:pStyle w:val="TableParagraph"/>
              <w:spacing w:before="38"/>
              <w:rPr>
                <w:sz w:val="24"/>
                <w:szCs w:val="24"/>
                <w:lang w:val="es-MX"/>
              </w:rPr>
            </w:pPr>
            <w:r w:rsidRPr="00C7483B">
              <w:rPr>
                <w:w w:val="105"/>
                <w:sz w:val="24"/>
                <w:szCs w:val="24"/>
                <w:lang w:val="es-MX"/>
              </w:rPr>
              <w:t xml:space="preserve">MGP Juan Morales Hernández </w:t>
            </w:r>
            <w:hyperlink r:id="rId6" w:history="1">
              <w:r w:rsidRPr="00C7483B">
                <w:rPr>
                  <w:rStyle w:val="Hipervnculo"/>
                  <w:sz w:val="24"/>
                  <w:szCs w:val="24"/>
                  <w:lang w:val="es-MX"/>
                </w:rPr>
                <w:t>planeacion@zacatlan.gob.mx</w:t>
              </w:r>
            </w:hyperlink>
            <w:r w:rsidRPr="00C7483B">
              <w:rPr>
                <w:sz w:val="24"/>
                <w:szCs w:val="24"/>
                <w:lang w:val="es-MX"/>
              </w:rPr>
              <w:t xml:space="preserve">     </w:t>
            </w:r>
            <w:r w:rsidRPr="00C7483B">
              <w:rPr>
                <w:w w:val="105"/>
                <w:sz w:val="24"/>
                <w:szCs w:val="24"/>
                <w:lang w:val="es-MX"/>
              </w:rPr>
              <w:t>797-975-11-94 Ext 212</w:t>
            </w:r>
          </w:p>
          <w:p w:rsidR="00BF4BD9" w:rsidRPr="00C7483B" w:rsidRDefault="00BF4BD9" w:rsidP="00FE075A">
            <w:pPr>
              <w:pStyle w:val="TableParagraph"/>
              <w:tabs>
                <w:tab w:val="left" w:pos="3947"/>
                <w:tab w:val="left" w:pos="6925"/>
              </w:tabs>
              <w:spacing w:before="118"/>
              <w:rPr>
                <w:sz w:val="24"/>
                <w:szCs w:val="24"/>
                <w:lang w:val="es-MX"/>
              </w:rPr>
            </w:pPr>
          </w:p>
        </w:tc>
      </w:tr>
      <w:tr w:rsidR="00BF4BD9" w:rsidRPr="00587462" w:rsidTr="00BF4BD9">
        <w:trPr>
          <w:trHeight w:val="689"/>
        </w:trPr>
        <w:tc>
          <w:tcPr>
            <w:tcW w:w="4603" w:type="dxa"/>
          </w:tcPr>
          <w:p w:rsidR="00BF4BD9" w:rsidRPr="00587462" w:rsidRDefault="00BF4BD9" w:rsidP="00FE075A">
            <w:pPr>
              <w:pStyle w:val="TableParagraph"/>
              <w:spacing w:before="9"/>
              <w:ind w:left="74"/>
              <w:rPr>
                <w:sz w:val="24"/>
                <w:szCs w:val="24"/>
              </w:rPr>
            </w:pPr>
            <w:proofErr w:type="spellStart"/>
            <w:r w:rsidRPr="00587462">
              <w:rPr>
                <w:sz w:val="24"/>
                <w:szCs w:val="24"/>
              </w:rPr>
              <w:t>Nombre</w:t>
            </w:r>
            <w:proofErr w:type="spellEnd"/>
            <w:r w:rsidRPr="00587462">
              <w:rPr>
                <w:sz w:val="24"/>
                <w:szCs w:val="24"/>
              </w:rPr>
              <w:t>:</w:t>
            </w:r>
          </w:p>
          <w:p w:rsidR="00BF4BD9" w:rsidRPr="00587462" w:rsidRDefault="00BF4BD9" w:rsidP="00FE075A">
            <w:pPr>
              <w:pStyle w:val="TableParagraph"/>
              <w:spacing w:before="108"/>
              <w:ind w:left="74"/>
              <w:rPr>
                <w:sz w:val="24"/>
                <w:szCs w:val="24"/>
              </w:rPr>
            </w:pPr>
            <w:r w:rsidRPr="00587462">
              <w:rPr>
                <w:w w:val="105"/>
                <w:sz w:val="24"/>
                <w:szCs w:val="24"/>
              </w:rPr>
              <w:t>MGP Juan Morales Hernández</w:t>
            </w:r>
          </w:p>
          <w:p w:rsidR="00BF4BD9" w:rsidRPr="00587462" w:rsidRDefault="00BF4BD9" w:rsidP="00FE075A">
            <w:pPr>
              <w:pStyle w:val="TableParagraph"/>
              <w:spacing w:before="114"/>
              <w:rPr>
                <w:sz w:val="24"/>
                <w:szCs w:val="24"/>
              </w:rPr>
            </w:pPr>
          </w:p>
        </w:tc>
        <w:tc>
          <w:tcPr>
            <w:tcW w:w="5511" w:type="dxa"/>
          </w:tcPr>
          <w:p w:rsidR="00BF4BD9" w:rsidRPr="00C7483B" w:rsidRDefault="00BF4BD9" w:rsidP="00FE075A">
            <w:pPr>
              <w:pStyle w:val="TableParagraph"/>
              <w:spacing w:before="9"/>
              <w:ind w:left="74"/>
              <w:rPr>
                <w:sz w:val="24"/>
                <w:szCs w:val="24"/>
                <w:lang w:val="es-MX"/>
              </w:rPr>
            </w:pPr>
            <w:r w:rsidRPr="00C7483B">
              <w:rPr>
                <w:sz w:val="24"/>
                <w:szCs w:val="24"/>
                <w:lang w:val="es-MX"/>
              </w:rPr>
              <w:t>Unidad administrativa:</w:t>
            </w:r>
          </w:p>
          <w:p w:rsidR="00BF4BD9" w:rsidRPr="00C7483B" w:rsidRDefault="00BF4BD9" w:rsidP="00FE075A">
            <w:pPr>
              <w:pStyle w:val="TableParagraph"/>
              <w:spacing w:before="20" w:line="356" w:lineRule="exact"/>
              <w:ind w:left="74" w:right="452"/>
              <w:rPr>
                <w:w w:val="105"/>
                <w:sz w:val="24"/>
                <w:szCs w:val="24"/>
                <w:lang w:val="es-MX"/>
              </w:rPr>
            </w:pPr>
            <w:r w:rsidRPr="00C7483B">
              <w:rPr>
                <w:w w:val="105"/>
                <w:sz w:val="24"/>
                <w:szCs w:val="24"/>
                <w:lang w:val="es-MX"/>
              </w:rPr>
              <w:t>Dirección de Planeación e Inversión.</w:t>
            </w:r>
          </w:p>
          <w:p w:rsidR="00BF4BD9" w:rsidRPr="00C7483B" w:rsidRDefault="00BF4BD9" w:rsidP="00FE075A">
            <w:pPr>
              <w:pStyle w:val="TableParagraph"/>
              <w:spacing w:before="20" w:line="356" w:lineRule="exact"/>
              <w:ind w:right="452"/>
              <w:rPr>
                <w:sz w:val="24"/>
                <w:szCs w:val="24"/>
                <w:lang w:val="es-MX"/>
              </w:rPr>
            </w:pPr>
            <w:r w:rsidRPr="00C7483B">
              <w:rPr>
                <w:w w:val="105"/>
                <w:sz w:val="24"/>
                <w:szCs w:val="24"/>
                <w:lang w:val="es-MX"/>
              </w:rPr>
              <w:t xml:space="preserve"> </w:t>
            </w:r>
          </w:p>
        </w:tc>
      </w:tr>
      <w:tr w:rsidR="00BF4BD9" w:rsidRPr="00587462" w:rsidTr="00BF4BD9">
        <w:trPr>
          <w:trHeight w:val="455"/>
        </w:trPr>
        <w:tc>
          <w:tcPr>
            <w:tcW w:w="10114" w:type="dxa"/>
            <w:gridSpan w:val="2"/>
            <w:shd w:val="clear" w:color="auto" w:fill="00AFEF"/>
          </w:tcPr>
          <w:p w:rsidR="00BF4BD9" w:rsidRPr="00C7483B" w:rsidRDefault="00BF4BD9" w:rsidP="00FE075A">
            <w:pPr>
              <w:pStyle w:val="TableParagraph"/>
              <w:spacing w:before="15"/>
              <w:ind w:left="2239"/>
              <w:rPr>
                <w:b/>
                <w:sz w:val="24"/>
                <w:szCs w:val="24"/>
                <w:lang w:val="es-MX"/>
              </w:rPr>
            </w:pPr>
            <w:r w:rsidRPr="00C7483B">
              <w:rPr>
                <w:b/>
                <w:color w:val="FFFFFF"/>
                <w:sz w:val="24"/>
                <w:szCs w:val="24"/>
                <w:lang w:val="es-MX"/>
              </w:rPr>
              <w:t>6. DATOS DE CONTRATACIÓN DE LA EVALUACIÓN</w:t>
            </w:r>
          </w:p>
        </w:tc>
      </w:tr>
      <w:tr w:rsidR="00BF4BD9" w:rsidRPr="00587462" w:rsidTr="00BF4BD9">
        <w:trPr>
          <w:trHeight w:val="407"/>
        </w:trPr>
        <w:tc>
          <w:tcPr>
            <w:tcW w:w="10114" w:type="dxa"/>
            <w:gridSpan w:val="2"/>
            <w:tcBorders>
              <w:bottom w:val="single" w:sz="12" w:space="0" w:color="000000"/>
            </w:tcBorders>
          </w:tcPr>
          <w:p w:rsidR="00BF4BD9" w:rsidRPr="00587462" w:rsidRDefault="00BF4BD9" w:rsidP="00FE075A">
            <w:pPr>
              <w:pStyle w:val="TableParagraph"/>
              <w:spacing w:before="9"/>
              <w:ind w:left="74"/>
              <w:rPr>
                <w:sz w:val="24"/>
                <w:szCs w:val="24"/>
              </w:rPr>
            </w:pPr>
            <w:r w:rsidRPr="00587462">
              <w:rPr>
                <w:sz w:val="24"/>
                <w:szCs w:val="24"/>
              </w:rPr>
              <w:t xml:space="preserve">6.1 </w:t>
            </w:r>
            <w:proofErr w:type="spellStart"/>
            <w:r w:rsidRPr="00587462">
              <w:rPr>
                <w:sz w:val="24"/>
                <w:szCs w:val="24"/>
              </w:rPr>
              <w:t>Tipo</w:t>
            </w:r>
            <w:proofErr w:type="spellEnd"/>
            <w:r w:rsidRPr="00587462">
              <w:rPr>
                <w:sz w:val="24"/>
                <w:szCs w:val="24"/>
              </w:rPr>
              <w:t xml:space="preserve"> de </w:t>
            </w:r>
            <w:proofErr w:type="spellStart"/>
            <w:r w:rsidRPr="00587462">
              <w:rPr>
                <w:sz w:val="24"/>
                <w:szCs w:val="24"/>
              </w:rPr>
              <w:t>contratación</w:t>
            </w:r>
            <w:proofErr w:type="spellEnd"/>
            <w:r w:rsidRPr="00587462">
              <w:rPr>
                <w:sz w:val="24"/>
                <w:szCs w:val="24"/>
              </w:rPr>
              <w:t>:</w:t>
            </w:r>
          </w:p>
        </w:tc>
      </w:tr>
      <w:tr w:rsidR="00BF4BD9" w:rsidRPr="00587462" w:rsidTr="00BF4BD9">
        <w:trPr>
          <w:trHeight w:val="680"/>
        </w:trPr>
        <w:tc>
          <w:tcPr>
            <w:tcW w:w="10114" w:type="dxa"/>
            <w:gridSpan w:val="2"/>
            <w:tcBorders>
              <w:top w:val="single" w:sz="12" w:space="0" w:color="000000"/>
            </w:tcBorders>
          </w:tcPr>
          <w:p w:rsidR="00BF4BD9" w:rsidRPr="00C7483B" w:rsidRDefault="00BF4BD9" w:rsidP="00FE075A">
            <w:pPr>
              <w:pStyle w:val="TableParagraph"/>
              <w:tabs>
                <w:tab w:val="left" w:pos="1407"/>
                <w:tab w:val="left" w:pos="3128"/>
                <w:tab w:val="left" w:pos="5771"/>
                <w:tab w:val="left" w:pos="6171"/>
                <w:tab w:val="left" w:pos="8426"/>
              </w:tabs>
              <w:spacing w:before="11" w:line="237" w:lineRule="auto"/>
              <w:ind w:left="74" w:right="1405"/>
              <w:rPr>
                <w:sz w:val="24"/>
                <w:szCs w:val="24"/>
                <w:lang w:val="es-MX"/>
              </w:rPr>
            </w:pPr>
            <w:r w:rsidRPr="00C7483B">
              <w:rPr>
                <w:sz w:val="24"/>
                <w:szCs w:val="24"/>
                <w:lang w:val="es-MX"/>
              </w:rPr>
              <w:t>6.1.1</w:t>
            </w:r>
            <w:r w:rsidRPr="00C7483B">
              <w:rPr>
                <w:spacing w:val="-4"/>
                <w:sz w:val="24"/>
                <w:szCs w:val="24"/>
                <w:lang w:val="es-MX"/>
              </w:rPr>
              <w:t xml:space="preserve"> </w:t>
            </w:r>
            <w:r w:rsidRPr="00C7483B">
              <w:rPr>
                <w:sz w:val="24"/>
                <w:szCs w:val="24"/>
                <w:lang w:val="es-MX"/>
              </w:rPr>
              <w:t>Adjudicación</w:t>
            </w:r>
            <w:r w:rsidRPr="00C7483B">
              <w:rPr>
                <w:spacing w:val="-3"/>
                <w:sz w:val="24"/>
                <w:szCs w:val="24"/>
                <w:lang w:val="es-MX"/>
              </w:rPr>
              <w:t xml:space="preserve"> </w:t>
            </w:r>
            <w:r w:rsidRPr="00C7483B">
              <w:rPr>
                <w:sz w:val="24"/>
                <w:szCs w:val="24"/>
                <w:lang w:val="es-MX"/>
              </w:rPr>
              <w:t>Directa</w:t>
            </w:r>
            <w:r w:rsidRPr="00C7483B">
              <w:rPr>
                <w:sz w:val="24"/>
                <w:szCs w:val="24"/>
                <w:u w:val="single"/>
                <w:lang w:val="es-MX"/>
              </w:rPr>
              <w:t xml:space="preserve"> </w:t>
            </w:r>
            <w:r w:rsidRPr="00C7483B">
              <w:rPr>
                <w:sz w:val="24"/>
                <w:szCs w:val="24"/>
                <w:u w:val="single"/>
                <w:lang w:val="es-MX"/>
              </w:rPr>
              <w:tab/>
            </w:r>
            <w:r w:rsidRPr="00C7483B">
              <w:rPr>
                <w:sz w:val="24"/>
                <w:szCs w:val="24"/>
                <w:lang w:val="es-MX"/>
              </w:rPr>
              <w:t>_ 6.1.2 Invitación</w:t>
            </w:r>
            <w:r w:rsidRPr="00C7483B">
              <w:rPr>
                <w:spacing w:val="-6"/>
                <w:sz w:val="24"/>
                <w:szCs w:val="24"/>
                <w:lang w:val="es-MX"/>
              </w:rPr>
              <w:t xml:space="preserve"> </w:t>
            </w:r>
            <w:r w:rsidRPr="00C7483B">
              <w:rPr>
                <w:sz w:val="24"/>
                <w:szCs w:val="24"/>
                <w:lang w:val="es-MX"/>
              </w:rPr>
              <w:t>a</w:t>
            </w:r>
            <w:r w:rsidRPr="00C7483B">
              <w:rPr>
                <w:spacing w:val="-3"/>
                <w:sz w:val="24"/>
                <w:szCs w:val="24"/>
                <w:lang w:val="es-MX"/>
              </w:rPr>
              <w:t xml:space="preserve"> </w:t>
            </w:r>
            <w:r w:rsidRPr="00C7483B">
              <w:rPr>
                <w:sz w:val="24"/>
                <w:szCs w:val="24"/>
                <w:lang w:val="es-MX"/>
              </w:rPr>
              <w:t>tres</w:t>
            </w:r>
            <w:r w:rsidRPr="00C7483B">
              <w:rPr>
                <w:sz w:val="24"/>
                <w:szCs w:val="24"/>
                <w:u w:val="single"/>
                <w:lang w:val="es-MX"/>
              </w:rPr>
              <w:tab/>
              <w:t>X</w:t>
            </w:r>
            <w:r w:rsidRPr="00C7483B">
              <w:rPr>
                <w:sz w:val="24"/>
                <w:szCs w:val="24"/>
                <w:u w:val="single"/>
                <w:lang w:val="es-MX"/>
              </w:rPr>
              <w:tab/>
            </w:r>
            <w:r w:rsidRPr="00C7483B">
              <w:rPr>
                <w:sz w:val="24"/>
                <w:szCs w:val="24"/>
                <w:lang w:val="es-MX"/>
              </w:rPr>
              <w:t>6.1.3 Licitación Pública Nacional</w:t>
            </w:r>
            <w:r w:rsidRPr="00C7483B">
              <w:rPr>
                <w:sz w:val="24"/>
                <w:szCs w:val="24"/>
                <w:u w:val="single"/>
                <w:lang w:val="es-MX"/>
              </w:rPr>
              <w:tab/>
            </w:r>
            <w:r w:rsidRPr="00C7483B">
              <w:rPr>
                <w:sz w:val="24"/>
                <w:szCs w:val="24"/>
                <w:lang w:val="es-MX"/>
              </w:rPr>
              <w:t>6.1.4 Licitación</w:t>
            </w:r>
            <w:r w:rsidRPr="00C7483B">
              <w:rPr>
                <w:spacing w:val="-5"/>
                <w:sz w:val="24"/>
                <w:szCs w:val="24"/>
                <w:lang w:val="es-MX"/>
              </w:rPr>
              <w:t xml:space="preserve"> </w:t>
            </w:r>
            <w:r w:rsidRPr="00C7483B">
              <w:rPr>
                <w:sz w:val="24"/>
                <w:szCs w:val="24"/>
                <w:lang w:val="es-MX"/>
              </w:rPr>
              <w:t>Pública</w:t>
            </w:r>
            <w:r w:rsidRPr="00C7483B">
              <w:rPr>
                <w:spacing w:val="-2"/>
                <w:sz w:val="24"/>
                <w:szCs w:val="24"/>
                <w:lang w:val="es-MX"/>
              </w:rPr>
              <w:t xml:space="preserve"> </w:t>
            </w:r>
            <w:r w:rsidRPr="00C7483B">
              <w:rPr>
                <w:sz w:val="24"/>
                <w:szCs w:val="24"/>
                <w:lang w:val="es-MX"/>
              </w:rPr>
              <w:t>Internacional</w:t>
            </w:r>
            <w:r w:rsidRPr="00C7483B">
              <w:rPr>
                <w:sz w:val="24"/>
                <w:szCs w:val="24"/>
                <w:u w:val="single"/>
                <w:lang w:val="es-MX"/>
              </w:rPr>
              <w:tab/>
            </w:r>
            <w:r w:rsidRPr="00C7483B">
              <w:rPr>
                <w:sz w:val="24"/>
                <w:szCs w:val="24"/>
                <w:lang w:val="es-MX"/>
              </w:rPr>
              <w:t>6.1.5 Otro:</w:t>
            </w:r>
            <w:r w:rsidRPr="00C7483B">
              <w:rPr>
                <w:spacing w:val="-4"/>
                <w:sz w:val="24"/>
                <w:szCs w:val="24"/>
                <w:lang w:val="es-MX"/>
              </w:rPr>
              <w:t xml:space="preserve"> </w:t>
            </w:r>
            <w:r w:rsidRPr="00C7483B">
              <w:rPr>
                <w:sz w:val="24"/>
                <w:szCs w:val="24"/>
                <w:lang w:val="es-MX"/>
              </w:rPr>
              <w:t>(Señalar)</w:t>
            </w:r>
            <w:r w:rsidRPr="00C7483B">
              <w:rPr>
                <w:sz w:val="24"/>
                <w:szCs w:val="24"/>
                <w:u w:val="single"/>
                <w:lang w:val="es-MX"/>
              </w:rPr>
              <w:t xml:space="preserve"> </w:t>
            </w:r>
            <w:r w:rsidRPr="00C7483B">
              <w:rPr>
                <w:sz w:val="24"/>
                <w:szCs w:val="24"/>
                <w:u w:val="single"/>
                <w:lang w:val="es-MX"/>
              </w:rPr>
              <w:tab/>
            </w:r>
          </w:p>
        </w:tc>
      </w:tr>
      <w:tr w:rsidR="00BF4BD9" w:rsidRPr="00587462" w:rsidTr="00BF4BD9">
        <w:trPr>
          <w:trHeight w:val="661"/>
        </w:trPr>
        <w:tc>
          <w:tcPr>
            <w:tcW w:w="10114" w:type="dxa"/>
            <w:gridSpan w:val="2"/>
          </w:tcPr>
          <w:p w:rsidR="00BF4BD9" w:rsidRPr="00C7483B" w:rsidRDefault="00BF4BD9" w:rsidP="00FE075A">
            <w:pPr>
              <w:pStyle w:val="TableParagraph"/>
              <w:spacing w:before="9" w:line="249" w:lineRule="auto"/>
              <w:ind w:left="74"/>
              <w:rPr>
                <w:sz w:val="24"/>
                <w:szCs w:val="24"/>
                <w:lang w:val="es-MX"/>
              </w:rPr>
            </w:pPr>
            <w:r w:rsidRPr="00C7483B">
              <w:rPr>
                <w:sz w:val="24"/>
                <w:szCs w:val="24"/>
                <w:lang w:val="es-MX"/>
              </w:rPr>
              <w:t xml:space="preserve">6.2 Unidad administrativa responsable de contratar la evaluación: </w:t>
            </w:r>
            <w:proofErr w:type="spellStart"/>
            <w:r w:rsidRPr="00C7483B">
              <w:rPr>
                <w:sz w:val="24"/>
                <w:szCs w:val="24"/>
                <w:lang w:val="es-MX"/>
              </w:rPr>
              <w:t>Contaloría</w:t>
            </w:r>
            <w:proofErr w:type="spellEnd"/>
            <w:r w:rsidRPr="00C7483B">
              <w:rPr>
                <w:sz w:val="24"/>
                <w:szCs w:val="24"/>
                <w:lang w:val="es-MX"/>
              </w:rPr>
              <w:t xml:space="preserve"> Municipal</w:t>
            </w:r>
          </w:p>
        </w:tc>
      </w:tr>
      <w:tr w:rsidR="00BF4BD9" w:rsidRPr="00587462" w:rsidTr="00BF4BD9">
        <w:trPr>
          <w:trHeight w:val="407"/>
        </w:trPr>
        <w:tc>
          <w:tcPr>
            <w:tcW w:w="10114" w:type="dxa"/>
            <w:gridSpan w:val="2"/>
          </w:tcPr>
          <w:p w:rsidR="00BF4BD9" w:rsidRPr="00C7483B" w:rsidRDefault="00BF4BD9" w:rsidP="00FE075A">
            <w:pPr>
              <w:pStyle w:val="TableParagraph"/>
              <w:spacing w:before="9"/>
              <w:ind w:left="74"/>
              <w:rPr>
                <w:sz w:val="24"/>
                <w:szCs w:val="24"/>
                <w:lang w:val="es-MX"/>
              </w:rPr>
            </w:pPr>
            <w:r w:rsidRPr="00C7483B">
              <w:rPr>
                <w:sz w:val="24"/>
                <w:szCs w:val="24"/>
                <w:lang w:val="es-MX"/>
              </w:rPr>
              <w:t>6.3 Costo total de la evaluación: $157,760.00 IVA incluido</w:t>
            </w:r>
          </w:p>
        </w:tc>
      </w:tr>
      <w:tr w:rsidR="00BF4BD9" w:rsidRPr="00587462" w:rsidTr="00BF4BD9">
        <w:trPr>
          <w:trHeight w:val="407"/>
        </w:trPr>
        <w:tc>
          <w:tcPr>
            <w:tcW w:w="10114" w:type="dxa"/>
            <w:gridSpan w:val="2"/>
          </w:tcPr>
          <w:p w:rsidR="00BF4BD9" w:rsidRPr="00587462" w:rsidRDefault="00BF4BD9" w:rsidP="00FE075A">
            <w:pPr>
              <w:pStyle w:val="TableParagraph"/>
              <w:spacing w:before="9"/>
              <w:ind w:left="74"/>
              <w:rPr>
                <w:sz w:val="24"/>
                <w:szCs w:val="24"/>
              </w:rPr>
            </w:pPr>
            <w:r>
              <w:rPr>
                <w:sz w:val="24"/>
                <w:szCs w:val="24"/>
              </w:rPr>
              <w:t xml:space="preserve">6.4 </w:t>
            </w:r>
            <w:proofErr w:type="spellStart"/>
            <w:r>
              <w:rPr>
                <w:sz w:val="24"/>
                <w:szCs w:val="24"/>
              </w:rPr>
              <w:t>Fuente</w:t>
            </w:r>
            <w:proofErr w:type="spellEnd"/>
            <w:r>
              <w:rPr>
                <w:sz w:val="24"/>
                <w:szCs w:val="24"/>
              </w:rPr>
              <w:t xml:space="preserve"> de </w:t>
            </w:r>
            <w:proofErr w:type="spellStart"/>
            <w:r>
              <w:rPr>
                <w:sz w:val="24"/>
                <w:szCs w:val="24"/>
              </w:rPr>
              <w:t>Financiamiento</w:t>
            </w:r>
            <w:proofErr w:type="spellEnd"/>
            <w:r w:rsidRPr="00587462">
              <w:rPr>
                <w:sz w:val="24"/>
                <w:szCs w:val="24"/>
              </w:rPr>
              <w:t>:</w:t>
            </w:r>
            <w:r>
              <w:rPr>
                <w:spacing w:val="61"/>
                <w:sz w:val="24"/>
                <w:szCs w:val="24"/>
              </w:rPr>
              <w:t xml:space="preserve"> </w:t>
            </w:r>
            <w:proofErr w:type="spellStart"/>
            <w:r w:rsidRPr="00587462">
              <w:rPr>
                <w:sz w:val="24"/>
                <w:szCs w:val="24"/>
              </w:rPr>
              <w:t>Fortamun</w:t>
            </w:r>
            <w:proofErr w:type="spellEnd"/>
          </w:p>
        </w:tc>
      </w:tr>
      <w:tr w:rsidR="00BF4BD9" w:rsidRPr="00587462" w:rsidTr="00BF4BD9">
        <w:trPr>
          <w:trHeight w:val="450"/>
        </w:trPr>
        <w:tc>
          <w:tcPr>
            <w:tcW w:w="10114" w:type="dxa"/>
            <w:gridSpan w:val="2"/>
            <w:shd w:val="clear" w:color="auto" w:fill="00AFEF"/>
          </w:tcPr>
          <w:p w:rsidR="00BF4BD9" w:rsidRPr="00587462" w:rsidRDefault="00BF4BD9" w:rsidP="00FE075A">
            <w:pPr>
              <w:pStyle w:val="TableParagraph"/>
              <w:spacing w:before="15"/>
              <w:ind w:left="3247"/>
              <w:rPr>
                <w:b/>
                <w:sz w:val="24"/>
                <w:szCs w:val="24"/>
              </w:rPr>
            </w:pPr>
            <w:r w:rsidRPr="00587462">
              <w:rPr>
                <w:b/>
                <w:color w:val="FFFFFF"/>
                <w:sz w:val="24"/>
                <w:szCs w:val="24"/>
              </w:rPr>
              <w:t>7. DIFUSIÓN DE LA EVALUACIÓN</w:t>
            </w:r>
          </w:p>
        </w:tc>
      </w:tr>
      <w:tr w:rsidR="00BF4BD9" w:rsidRPr="00587462" w:rsidTr="00BF4BD9">
        <w:trPr>
          <w:trHeight w:val="407"/>
        </w:trPr>
        <w:tc>
          <w:tcPr>
            <w:tcW w:w="10114" w:type="dxa"/>
            <w:gridSpan w:val="2"/>
          </w:tcPr>
          <w:p w:rsidR="00BF4BD9" w:rsidRPr="00C7483B" w:rsidRDefault="00BF4BD9" w:rsidP="00FE075A">
            <w:pPr>
              <w:pStyle w:val="TableParagraph"/>
              <w:spacing w:before="14"/>
              <w:ind w:left="74"/>
              <w:rPr>
                <w:sz w:val="24"/>
                <w:szCs w:val="24"/>
                <w:lang w:val="es-MX"/>
              </w:rPr>
            </w:pPr>
            <w:r w:rsidRPr="00C7483B">
              <w:rPr>
                <w:sz w:val="24"/>
                <w:szCs w:val="24"/>
                <w:lang w:val="es-MX"/>
              </w:rPr>
              <w:t xml:space="preserve">7.1 Difusión en internet de la evaluación: </w:t>
            </w:r>
            <w:hyperlink r:id="rId7">
              <w:r w:rsidRPr="00C7483B">
                <w:rPr>
                  <w:sz w:val="24"/>
                  <w:szCs w:val="24"/>
                  <w:lang w:val="es-MX"/>
                </w:rPr>
                <w:t>www.Zacatlán.gob.mx</w:t>
              </w:r>
            </w:hyperlink>
          </w:p>
        </w:tc>
      </w:tr>
      <w:tr w:rsidR="00BF4BD9" w:rsidRPr="00587462" w:rsidTr="00BF4BD9">
        <w:trPr>
          <w:trHeight w:val="417"/>
        </w:trPr>
        <w:tc>
          <w:tcPr>
            <w:tcW w:w="10114" w:type="dxa"/>
            <w:gridSpan w:val="2"/>
          </w:tcPr>
          <w:p w:rsidR="00BF4BD9" w:rsidRPr="00C7483B" w:rsidRDefault="00BF4BD9" w:rsidP="00FE075A">
            <w:pPr>
              <w:pStyle w:val="TableParagraph"/>
              <w:spacing w:before="14"/>
              <w:ind w:left="74"/>
              <w:rPr>
                <w:sz w:val="24"/>
                <w:szCs w:val="24"/>
                <w:lang w:val="es-MX"/>
              </w:rPr>
            </w:pPr>
            <w:r w:rsidRPr="00C7483B">
              <w:rPr>
                <w:sz w:val="24"/>
                <w:szCs w:val="24"/>
                <w:lang w:val="es-MX"/>
              </w:rPr>
              <w:t xml:space="preserve">7.2 Difusión en internet del formato: </w:t>
            </w:r>
            <w:hyperlink r:id="rId8">
              <w:r w:rsidRPr="00C7483B">
                <w:rPr>
                  <w:sz w:val="24"/>
                  <w:szCs w:val="24"/>
                  <w:lang w:val="es-MX"/>
                </w:rPr>
                <w:t>www.Zacatlán.gob.mx</w:t>
              </w:r>
            </w:hyperlink>
          </w:p>
        </w:tc>
      </w:tr>
    </w:tbl>
    <w:p w:rsidR="00BF4BD9" w:rsidRDefault="00BF4BD9" w:rsidP="00BF4BD9">
      <w:pPr>
        <w:ind w:right="-1085"/>
      </w:pPr>
    </w:p>
    <w:p w:rsidR="00BF4BD9" w:rsidRDefault="00BF4BD9" w:rsidP="00BF4BD9">
      <w:pPr>
        <w:ind w:right="-1085"/>
      </w:pPr>
    </w:p>
    <w:p w:rsidR="00BF4BD9" w:rsidRDefault="00BF4BD9" w:rsidP="00BF4BD9">
      <w:pPr>
        <w:ind w:right="-1085"/>
      </w:pPr>
      <w:bookmarkStart w:id="0" w:name="_GoBack"/>
      <w:bookmarkEnd w:id="0"/>
    </w:p>
    <w:sectPr w:rsidR="00BF4BD9" w:rsidSect="00BF4BD9">
      <w:pgSz w:w="12240" w:h="15840"/>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E4202"/>
    <w:multiLevelType w:val="hybridMultilevel"/>
    <w:tmpl w:val="31A04A9E"/>
    <w:lvl w:ilvl="0" w:tplc="F184143A">
      <w:numFmt w:val="bullet"/>
      <w:lvlText w:val="•"/>
      <w:lvlJc w:val="left"/>
      <w:pPr>
        <w:ind w:left="74" w:hanging="86"/>
      </w:pPr>
      <w:rPr>
        <w:rFonts w:ascii="Arial" w:eastAsia="Arial" w:hAnsi="Arial" w:cs="Arial" w:hint="default"/>
        <w:spacing w:val="-1"/>
        <w:w w:val="100"/>
        <w:sz w:val="22"/>
        <w:szCs w:val="22"/>
      </w:rPr>
    </w:lvl>
    <w:lvl w:ilvl="1" w:tplc="3FD8B0EC">
      <w:numFmt w:val="bullet"/>
      <w:lvlText w:val="•"/>
      <w:lvlJc w:val="left"/>
      <w:pPr>
        <w:ind w:left="1081" w:hanging="86"/>
      </w:pPr>
      <w:rPr>
        <w:rFonts w:hint="default"/>
      </w:rPr>
    </w:lvl>
    <w:lvl w:ilvl="2" w:tplc="C4326F28">
      <w:numFmt w:val="bullet"/>
      <w:lvlText w:val="•"/>
      <w:lvlJc w:val="left"/>
      <w:pPr>
        <w:ind w:left="2083" w:hanging="86"/>
      </w:pPr>
      <w:rPr>
        <w:rFonts w:hint="default"/>
      </w:rPr>
    </w:lvl>
    <w:lvl w:ilvl="3" w:tplc="DA662B32">
      <w:numFmt w:val="bullet"/>
      <w:lvlText w:val="•"/>
      <w:lvlJc w:val="left"/>
      <w:pPr>
        <w:ind w:left="3085" w:hanging="86"/>
      </w:pPr>
      <w:rPr>
        <w:rFonts w:hint="default"/>
      </w:rPr>
    </w:lvl>
    <w:lvl w:ilvl="4" w:tplc="86E6BFB2">
      <w:numFmt w:val="bullet"/>
      <w:lvlText w:val="•"/>
      <w:lvlJc w:val="left"/>
      <w:pPr>
        <w:ind w:left="4087" w:hanging="86"/>
      </w:pPr>
      <w:rPr>
        <w:rFonts w:hint="default"/>
      </w:rPr>
    </w:lvl>
    <w:lvl w:ilvl="5" w:tplc="8004A0AC">
      <w:numFmt w:val="bullet"/>
      <w:lvlText w:val="•"/>
      <w:lvlJc w:val="left"/>
      <w:pPr>
        <w:ind w:left="5089" w:hanging="86"/>
      </w:pPr>
      <w:rPr>
        <w:rFonts w:hint="default"/>
      </w:rPr>
    </w:lvl>
    <w:lvl w:ilvl="6" w:tplc="6A9A038C">
      <w:numFmt w:val="bullet"/>
      <w:lvlText w:val="•"/>
      <w:lvlJc w:val="left"/>
      <w:pPr>
        <w:ind w:left="6091" w:hanging="86"/>
      </w:pPr>
      <w:rPr>
        <w:rFonts w:hint="default"/>
      </w:rPr>
    </w:lvl>
    <w:lvl w:ilvl="7" w:tplc="741494CA">
      <w:numFmt w:val="bullet"/>
      <w:lvlText w:val="•"/>
      <w:lvlJc w:val="left"/>
      <w:pPr>
        <w:ind w:left="7093" w:hanging="86"/>
      </w:pPr>
      <w:rPr>
        <w:rFonts w:hint="default"/>
      </w:rPr>
    </w:lvl>
    <w:lvl w:ilvl="8" w:tplc="A58EB0C0">
      <w:numFmt w:val="bullet"/>
      <w:lvlText w:val="•"/>
      <w:lvlJc w:val="left"/>
      <w:pPr>
        <w:ind w:left="8095" w:hanging="8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BD9"/>
    <w:rsid w:val="0096486F"/>
    <w:rsid w:val="009B224E"/>
    <w:rsid w:val="00BF4B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F4BD9"/>
    <w:pPr>
      <w:widowControl w:val="0"/>
      <w:autoSpaceDE w:val="0"/>
      <w:autoSpaceDN w:val="0"/>
      <w:spacing w:after="0" w:line="240" w:lineRule="auto"/>
    </w:pPr>
    <w:rPr>
      <w:rFonts w:ascii="Arial" w:eastAsia="Arial" w:hAnsi="Arial" w:cs="Arial"/>
    </w:rPr>
  </w:style>
  <w:style w:type="paragraph" w:styleId="Ttulo2">
    <w:name w:val="heading 2"/>
    <w:basedOn w:val="Normal"/>
    <w:next w:val="Normal"/>
    <w:link w:val="Ttulo2Car"/>
    <w:uiPriority w:val="9"/>
    <w:semiHidden/>
    <w:unhideWhenUsed/>
    <w:qFormat/>
    <w:rsid w:val="00BF4BD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BF4BD9"/>
    <w:rPr>
      <w:rFonts w:asciiTheme="majorHAnsi" w:eastAsiaTheme="majorEastAsia" w:hAnsiTheme="majorHAnsi" w:cstheme="majorBidi"/>
      <w:color w:val="365F91" w:themeColor="accent1" w:themeShade="BF"/>
      <w:sz w:val="26"/>
      <w:szCs w:val="26"/>
    </w:rPr>
  </w:style>
  <w:style w:type="paragraph" w:styleId="Textoindependiente">
    <w:name w:val="Body Text"/>
    <w:basedOn w:val="Normal"/>
    <w:link w:val="TextoindependienteCar"/>
    <w:uiPriority w:val="1"/>
    <w:qFormat/>
    <w:rsid w:val="00BF4BD9"/>
    <w:rPr>
      <w:sz w:val="21"/>
      <w:szCs w:val="21"/>
    </w:rPr>
  </w:style>
  <w:style w:type="character" w:customStyle="1" w:styleId="TextoindependienteCar">
    <w:name w:val="Texto independiente Car"/>
    <w:basedOn w:val="Fuentedeprrafopredeter"/>
    <w:link w:val="Textoindependiente"/>
    <w:uiPriority w:val="1"/>
    <w:rsid w:val="00BF4BD9"/>
    <w:rPr>
      <w:rFonts w:ascii="Arial" w:eastAsia="Arial" w:hAnsi="Arial" w:cs="Arial"/>
      <w:sz w:val="21"/>
      <w:szCs w:val="21"/>
    </w:rPr>
  </w:style>
  <w:style w:type="paragraph" w:customStyle="1" w:styleId="TableParagraph">
    <w:name w:val="Table Paragraph"/>
    <w:basedOn w:val="Normal"/>
    <w:uiPriority w:val="1"/>
    <w:qFormat/>
    <w:rsid w:val="00BF4BD9"/>
  </w:style>
  <w:style w:type="table" w:customStyle="1" w:styleId="TableNormal1">
    <w:name w:val="Table Normal1"/>
    <w:uiPriority w:val="2"/>
    <w:semiHidden/>
    <w:unhideWhenUsed/>
    <w:qFormat/>
    <w:rsid w:val="00BF4BD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Hipervnculo">
    <w:name w:val="Hyperlink"/>
    <w:basedOn w:val="Fuentedeprrafopredeter"/>
    <w:uiPriority w:val="99"/>
    <w:unhideWhenUsed/>
    <w:rsid w:val="00BF4B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F4BD9"/>
    <w:pPr>
      <w:widowControl w:val="0"/>
      <w:autoSpaceDE w:val="0"/>
      <w:autoSpaceDN w:val="0"/>
      <w:spacing w:after="0" w:line="240" w:lineRule="auto"/>
    </w:pPr>
    <w:rPr>
      <w:rFonts w:ascii="Arial" w:eastAsia="Arial" w:hAnsi="Arial" w:cs="Arial"/>
    </w:rPr>
  </w:style>
  <w:style w:type="paragraph" w:styleId="Ttulo2">
    <w:name w:val="heading 2"/>
    <w:basedOn w:val="Normal"/>
    <w:next w:val="Normal"/>
    <w:link w:val="Ttulo2Car"/>
    <w:uiPriority w:val="9"/>
    <w:semiHidden/>
    <w:unhideWhenUsed/>
    <w:qFormat/>
    <w:rsid w:val="00BF4BD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BF4BD9"/>
    <w:rPr>
      <w:rFonts w:asciiTheme="majorHAnsi" w:eastAsiaTheme="majorEastAsia" w:hAnsiTheme="majorHAnsi" w:cstheme="majorBidi"/>
      <w:color w:val="365F91" w:themeColor="accent1" w:themeShade="BF"/>
      <w:sz w:val="26"/>
      <w:szCs w:val="26"/>
    </w:rPr>
  </w:style>
  <w:style w:type="paragraph" w:styleId="Textoindependiente">
    <w:name w:val="Body Text"/>
    <w:basedOn w:val="Normal"/>
    <w:link w:val="TextoindependienteCar"/>
    <w:uiPriority w:val="1"/>
    <w:qFormat/>
    <w:rsid w:val="00BF4BD9"/>
    <w:rPr>
      <w:sz w:val="21"/>
      <w:szCs w:val="21"/>
    </w:rPr>
  </w:style>
  <w:style w:type="character" w:customStyle="1" w:styleId="TextoindependienteCar">
    <w:name w:val="Texto independiente Car"/>
    <w:basedOn w:val="Fuentedeprrafopredeter"/>
    <w:link w:val="Textoindependiente"/>
    <w:uiPriority w:val="1"/>
    <w:rsid w:val="00BF4BD9"/>
    <w:rPr>
      <w:rFonts w:ascii="Arial" w:eastAsia="Arial" w:hAnsi="Arial" w:cs="Arial"/>
      <w:sz w:val="21"/>
      <w:szCs w:val="21"/>
    </w:rPr>
  </w:style>
  <w:style w:type="paragraph" w:customStyle="1" w:styleId="TableParagraph">
    <w:name w:val="Table Paragraph"/>
    <w:basedOn w:val="Normal"/>
    <w:uiPriority w:val="1"/>
    <w:qFormat/>
    <w:rsid w:val="00BF4BD9"/>
  </w:style>
  <w:style w:type="table" w:customStyle="1" w:styleId="TableNormal1">
    <w:name w:val="Table Normal1"/>
    <w:uiPriority w:val="2"/>
    <w:semiHidden/>
    <w:unhideWhenUsed/>
    <w:qFormat/>
    <w:rsid w:val="00BF4BD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Hipervnculo">
    <w:name w:val="Hyperlink"/>
    <w:basedOn w:val="Fuentedeprrafopredeter"/>
    <w:uiPriority w:val="99"/>
    <w:unhideWhenUsed/>
    <w:rsid w:val="00BF4B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icias.gob.mx/" TargetMode="External"/><Relationship Id="rId3" Type="http://schemas.microsoft.com/office/2007/relationships/stylesWithEffects" Target="stylesWithEffects.xml"/><Relationship Id="rId7" Type="http://schemas.openxmlformats.org/officeDocument/2006/relationships/hyperlink" Target="http://www.delicias.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laneacion@zacatlan.gob.m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1729</Words>
  <Characters>9511</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dc:creator>
  <cp:lastModifiedBy>Conta</cp:lastModifiedBy>
  <cp:revision>1</cp:revision>
  <dcterms:created xsi:type="dcterms:W3CDTF">2018-10-23T14:44:00Z</dcterms:created>
  <dcterms:modified xsi:type="dcterms:W3CDTF">2018-10-23T14:50:00Z</dcterms:modified>
</cp:coreProperties>
</file>